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4402 2004-1634 vom 23. Juni 1999</w:t>
      </w:r>
    </w:p>
    <w:p>
      <w:r>
        <w:t>Bundesverwaltung, 1999-06-23, DE</w:t>
      </w:r>
    </w:p>
    <w:p>
      <w:r>
        <w:rPr>
          <w:b/>
        </w:rPr>
        <w:t xml:space="preserve">Quelle: </w:t>
      </w:r>
      <w:r>
        <w:t>https://mcp.opencaselaw.ch/entscheid/ch_vb_4402_2004-1634_</w:t>
      </w:r>
    </w:p>
    <w:p>
      <w:r>
        <w:t>FR: CH_VB 4402 2004-1634 du 23 juin 1999</w:t>
      </w:r>
    </w:p>
    <w:p>
      <w:r>
        <w:t>IT: CH_VB 4402 2004-1634 del 23 giugno 1999</w:t>
      </w:r>
    </w:p>
    <w:p>
      <w:pPr>
        <w:pStyle w:val="Heading2"/>
      </w:pPr>
      <w:r>
        <w:t>Volltext</w:t>
      </w:r>
    </w:p>
    <w:p>
      <w:r>
        <w:t>4402 2004-1634 Décision de portée générale concernant l’admission d’un produit phytosanitaire dans la liste des produits phytosanitaires non soumis à autorisation du 15 août 2004</w:t>
      </w:r>
    </w:p>
    <w:p>
      <w:r>
        <w:t>L’Office fédéral de l’agriculture, vu l’art. 15 de l’ordonnance du 23 juin 1999 sur l’homologation de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Vamodithion 400 g/l Formulation: EC 2. Produits commerciaux Dekamp Numéro d’homologation suisse: F-3620</w:t>
      </w:r>
    </w:p>
    <w:p>
      <w:r>
        <w:t>pays d’origine: France</w:t>
      </w:r>
    </w:p>
    <w:p>
      <w:r>
        <w:t>numéro d’homologation étranger: 96 00316</w:t>
      </w:r>
    </w:p>
    <w:p>
      <w:r>
        <w:t>distributeur: Aventis CropSciences France, 55,</w:t>
      </w:r>
    </w:p>
    <w:p>
      <w:r>
        <w:t>avenue René Cassin, CP 310,69337 LYON Cédex 09 Vamiter Numéro d’homologation suisse: I-3550</w:t>
      </w:r>
    </w:p>
    <w:p>
      <w:r>
        <w:t>pays d’origine: Italie</w:t>
      </w:r>
    </w:p>
    <w:p>
      <w:r>
        <w:t>numéro d’homologation étranger: 9770</w:t>
      </w:r>
    </w:p>
    <w:p>
      <w:r>
        <w:t>distributeur: Terranalisi, Via Donizetti 2/A, 44042 Cento Applications autorisées: Domaine d’application Maladie / effets Mode d’application (*)</w:t>
      </w:r>
    </w:p>
    <w:p>
      <w:r>
        <w:t>Arboriculture</w:t>
      </w:r>
    </w:p>
    <w:p>
      <w:r>
        <w:t>fruits à pépins cécidomie des feuilles du poirier, cécidomie des feilles du pommier, hoplocampes, puceron lanigère, pucerons du feuillage Concentration: 0,125 % Application: 1er traitement post-floral; dernier traitement: fin mai</w:t>
      </w:r>
    </w:p>
    <w:p>
      <w:r>
        <w:t>fruits à pépins puceron lanigère, pucerons du feuillage Concentration: 0,125 % Application: avant la floraison</w:t>
      </w:r>
    </w:p>
    <w:p>
      <w:r>
        <w:t>(*) Charges et remarques – toxique pour les abeilles</w:t>
      </w:r>
    </w:p>
    <w:p>
      <w:r>
        <w:t>1 RS 916.161</w:t>
      </w:r>
    </w:p>
    <w:p>
      <w:r>
        <w:t>4403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août 2004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2004 Année Anno Band 1 Volume Volume Heft 32 Cahier Numero Geschäftsnummer --- Numéro d'affaire Numero dell'oggetto Datum 17.08.2004 Date Data Seite 4402-4403 Page Pagina Ref. No 10 137 883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