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4086 2007-1413 vom 19. Juni 2007</w:t>
      </w:r>
    </w:p>
    <w:p>
      <w:r>
        <w:t>Bundesverwaltung, 2007-06-19, DE</w:t>
      </w:r>
    </w:p>
    <w:p>
      <w:r>
        <w:rPr>
          <w:b/>
        </w:rPr>
        <w:t xml:space="preserve">Quelle: </w:t>
      </w:r>
      <w:r>
        <w:t>https://mcp.opencaselaw.ch/entscheid/ch_vb_4086_2007-1413_</w:t>
      </w:r>
    </w:p>
    <w:p>
      <w:r>
        <w:t>FR: CH_VB 4086 2007-1413 du 19 juin 2007</w:t>
      </w:r>
    </w:p>
    <w:p>
      <w:r>
        <w:t>IT: CH_VB 4086 2007-1413 del 19 giugno 2007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140 668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