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3912 2002-1218 vom 11. Juni 2002</w:t>
      </w:r>
    </w:p>
    <w:p>
      <w:r>
        <w:t>Bundesverwaltung, 2002-06-11, DE</w:t>
      </w:r>
    </w:p>
    <w:p>
      <w:r>
        <w:rPr>
          <w:b/>
        </w:rPr>
        <w:t xml:space="preserve">Quelle: </w:t>
      </w:r>
      <w:r>
        <w:t>https://mcp.opencaselaw.ch/entscheid/ch_vb_3912_2002-1218</w:t>
      </w:r>
    </w:p>
    <w:p>
      <w:r>
        <w:t>FR: CH_VB 3912 2002-1218 du 11 juin 2002</w:t>
      </w:r>
    </w:p>
    <w:p>
      <w:r>
        <w:t>IT: CH_VB 3912 2002-1218 del 11 giugno 2002</w:t>
      </w:r>
    </w:p>
    <w:p>
      <w:pPr>
        <w:pStyle w:val="Heading2"/>
      </w:pPr>
      <w:r>
        <w:t>Volltext</w:t>
      </w:r>
    </w:p>
    <w:p>
      <w:r>
        <w:t>3912 2002-1218 Communication de la Commission de la concurrence (art. 28 de la loi fédérale du 6 octobre 1995 sur les cartels et autres restrictions à la concurrence; RS 251) La Commission de la concurrence (Comco) a ouvert une enquête selon l’art. 27 de la loi sur les cartels contre les sociétés Crédit Suisse (CS), société anonyme avec siège à Zurich, et Bank Linth (BL), société anonyme avec siège à Uznach. L’enquête doit établir s’il existe une restriction à la concurrence au sens des art. 5 et/ou 7 LCart qui entrave la situation de la concurrence, en particulier l’octroi de crédits (de moins de 2 mio. de fr.) aux entreprises et le marché de l’appro- visionnement (refinancement, accès à la plate-forme IT et à d’autres infrastructures). Font l’objet de la présente enquête l’accord de coopération du 19 novembre 2001 entre le CS et la BL ainsi qu’une déclaration d’interprétation de ce dernier et les accords de mise en oeuvre encore à conclure, lesquels prévoient entre autres une participation du CS à la BL, le passage de la BL à la plate-forme IT du CS, ainsi qu’une distribution des produits du CS par le canal de vente de la BL.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de participation sont à adresser au Secrétariat de la Commission de la concurrence, Effingerstrasse 27, 3003 Berne, téléphone 031 322 20 40, fax 031 322 20 53. 11 juin 2002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contre Crédit Suisse et Bank Linth In Bundesblatt Dans Feuille fédérale In Foglio federale Jahr 2002 Année Anno Band 1 Volume Volume Heft 23 Cahier Numero Geschäftsnummer --- Numéro d'affaire Numero dell'oggetto Datum 11.06.2002 Date Data Seite 3912-3912 Page Pagina Ref. No 10 126 349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