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3898 2006-1205 vom 19. Januar 2006</w:t>
      </w:r>
    </w:p>
    <w:p>
      <w:r>
        <w:t>Bundesverwaltung, 2006-01-19, DE</w:t>
      </w:r>
    </w:p>
    <w:p>
      <w:r>
        <w:rPr>
          <w:b/>
        </w:rPr>
        <w:t xml:space="preserve">Quelle: </w:t>
      </w:r>
      <w:r>
        <w:t>https://mcp.opencaselaw.ch/entscheid/ch_vb_3898_2006-1205_</w:t>
      </w:r>
    </w:p>
    <w:p>
      <w:r>
        <w:t>FR: CH_VB 3898 2006-1205 du 19 janvier 2006</w:t>
      </w:r>
    </w:p>
    <w:p>
      <w:r>
        <w:t>IT: CH_VB 3898 2006-1205 del 19 gennaio 2006</w:t>
      </w:r>
    </w:p>
    <w:p>
      <w:pPr>
        <w:pStyle w:val="Heading2"/>
      </w:pPr>
      <w:r>
        <w:t>Volltext</w:t>
      </w:r>
    </w:p>
    <w:p>
      <w:r>
        <w:t>3898 2006-1205 Approbation de tarifs d’institutions d’assurance privée (art. 84 de la loi du 17 décembre 2004 sur la surveillance des assurances, RS 961.01) L’Office fédéral des assurances privées a approuvé le tarif suivant, qui concerne des contrats d’assurance en cours: Décision du Tarif soumis par 19 janvier 2006 Basler Lebens-Versicherungs-Gesellschaft, Basel dans l’assurance collective sur la vie. La présente décision concerne une modification du tarif de l’assurance collective sur la vie à partir du 1er janvier 2007: – en prenant en compte le secteur d’activité économique dans l’assurance décès, – en introduisant une classe tarifaire supplémentaire dans l’assurance en cas d’incapacité de gain. Résumé de l’objet et du contenu de la décision Dans sa lettre du 19 décembre 2005, l’institution requérante a demandé que le sec- teur d’activité économique soit pris en compte dans l’assurance décès; jusqu’à pré- sent, elle ne l’avait pris en compte que dans l’assurance en cas d’incapacité de gain, conformément à la lettre du 27 avril 2001. Elle demande également qu’une sixième classe tarifaire soit introduite dans l’assurance en cas d’incapacité de gain pour les contrats établis dans le domaine de la rénovation qui connaît une évolution défavorable des sinistres (le rapport des sinistres survenus aux primes étant supérieur à 200 % durant trois ans ou plus).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9 mai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18 Cahier Numero Geschäftsnummer --- Numéro d'affaire Numero dell'oggetto Datum 09.05.2006 Date Data Seite 3898-3898 Page Pagina Ref. No 10 139 596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