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382 1999-5253 vom 2. Juni 1976</w:t>
      </w:r>
    </w:p>
    <w:p>
      <w:r>
        <w:t>Bundesverwaltung, 1976-06-02, DE</w:t>
      </w:r>
    </w:p>
    <w:p>
      <w:r>
        <w:rPr>
          <w:b/>
        </w:rPr>
        <w:t xml:space="preserve">Quelle: </w:t>
      </w:r>
      <w:r>
        <w:t>https://mcp.opencaselaw.ch/entscheid/ch_vb_382_1999-5253</w:t>
      </w:r>
    </w:p>
    <w:p>
      <w:r>
        <w:t>FR: CH_VB 382 1999-5253 du 2 juin 1976</w:t>
      </w:r>
    </w:p>
    <w:p>
      <w:r>
        <w:t>IT: CH_VB 382 1999-5253 del 2 giugno 1976</w:t>
      </w:r>
    </w:p>
    <w:p>
      <w:pPr>
        <w:pStyle w:val="Heading2"/>
      </w:pPr>
      <w:r>
        <w:t>Erwägungen</w:t>
      </w:r>
    </w:p>
    <w:p>
      <w:r>
        <w:rPr>
          <w:b/>
        </w:rPr>
        <w:t>E. 1</w:t>
      </w:r>
    </w:p>
    <w:p>
      <w:r>
        <w:t>Tout Membre de l’Organisation internationale du Travail qui ratifie la présente convention s’engage à mettre en œuvre des procédures qui assurent des consulta- tions efficaces entre les représentants du gouvernement, des employeurs et des tra-</w:t>
      </w:r>
    </w:p>
    <w:p>
      <w:r>
        <w:t>Consultations tripartites destinées à promouvoir la mise en œuvre des normes internationales du travail 383 vailleurs sur les questions concernant les activités de l’Organisation internationale du Travail, énoncées à l’art. 5, paragraphe 1, ci-dessous.</w:t>
      </w:r>
    </w:p>
    <w:p>
      <w:r>
        <w:rPr>
          <w:b/>
        </w:rPr>
        <w:t>E. 2</w:t>
      </w:r>
    </w:p>
    <w:p>
      <w:r>
        <w:t>Elle entrera en vigueur douze mois après que les ratifications de deux Membres auront été enregistrées par le Directeur général.</w:t>
      </w:r>
    </w:p>
    <w:p>
      <w:r>
        <w:rPr>
          <w:b/>
        </w:rPr>
        <w:t>E. 3</w:t>
      </w:r>
    </w:p>
    <w:p>
      <w:r>
        <w:t>Par la suite, cette convention entrera en vigueur pour chaque Membre douze mois après la date où sa ratification aura été enregistrée. Art. 9 1. Tout Membre ayant ratifié la présente convention peut la dénoncer à l’expiration d’une période de dix années après la date de la mise en vigueur initiale de la con- 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par une nouvelle période de dix années et, par la suite, pourra dénoncer la présente convention à l’expiration de chaque période de dix années dans les conditions pré- vues au présent article. Art. 10 1. Le Directeur général du Bureau international du Travail notifiera à tous les Membres de l’Organisation internationale du Travail l’enregistrement de toutes les ratifications et dénonciations qui lui seront communiquées par les Membres de l’Organisation.</w:t>
      </w:r>
    </w:p>
    <w:p>
      <w:r>
        <w:t>Consultations tripartites destinées à promouvoir la mise en œuvre des normes internationales du travail 385 2. En notifiant aux Membres de l’Organisation l’enregistrement de la deuxième ratification qui lui aura été communiquée, le Directeur général appellera l’attention des Membres de l’Organisation sur la date à laquelle la présente convention entrera en vigueur. Art. 11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 Art. 12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totale ou partielle. Art. 13 1. Au cas où la Conférence adopterait une nouvelle convention portant révision totale ou partielle de la présente convention, et à moins que la nouvelle convention ne dispose autrement: a) la ratification par un Membre de la nouvelle convention portant revision en- traînerait de plein droit, nonobstant l’art. 9 ci-dessus, dénonciation immé- diate de la présente convention, sous réserve que la nouvelle convention portant revision soit entrée en vigueur; b) à partir de la date de l’entrée en vigueur de la nouvelle convention portant revision, la présente convention cesserait d’être ouverte à la ratification des Membres. 2. La présente convention demeurerait en tout cas en vigueur dans sa forme et teneur pour les Membres qui l’auraient ratifiée et qui ne ratifieraient pas la conven- tion portant revision. Art. 14 Les versions française et anglaise du texte de la présente convention font également foi.</w:t>
      </w:r>
    </w:p>
    <w:p>
      <w:r>
        <w:t>Schweizerisches Bundesarchiv, Digitale Amtsdruckschriften Archives fédérales suisses, Publications officielles numérisées Archivio federale svizzero, Pubblicazioni ufficiali digitali Convention 144 concernant les consultations tripartites destinées à promouvoir la mise en oeuvre des normes internationales du travail In Bundesblatt Dans Feuille fédérale In Foglio federale Jahr 2000 Année Anno Band 1 Volume Volume Heft</w:t>
      </w:r>
    </w:p>
    <w:p>
      <w:r>
        <w:rPr>
          <w:b/>
        </w:rPr>
        <w:t>E. 05</w:t>
      </w:r>
    </w:p>
    <w:p>
      <w:r>
        <w:t>Cahier Numero Geschäftsnummer --- Numéro d'affaire Numero dell'oggetto Datum 08.02.2000 Date Data Seite 382-385 Page Pagina Ref. No</w:t>
      </w:r>
    </w:p>
    <w:p>
      <w:r>
        <w:rPr>
          <w:b/>
        </w:rPr>
        <w:t>E. 10</w:t>
      </w:r>
    </w:p>
    <w:p>
      <w:r>
        <w:t>124 225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