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378 2002-2733 vom 21. Januar 2003</w:t>
      </w:r>
    </w:p>
    <w:p>
      <w:r>
        <w:t>Bundesverwaltung, 2003-01-21, DE</w:t>
      </w:r>
    </w:p>
    <w:p>
      <w:r>
        <w:rPr>
          <w:b/>
        </w:rPr>
        <w:t xml:space="preserve">Quelle: </w:t>
      </w:r>
      <w:r>
        <w:t>https://mcp.opencaselaw.ch/entscheid/ch_vb_378_2002-2733</w:t>
      </w:r>
    </w:p>
    <w:p>
      <w:r>
        <w:t>FR: CH_VB 378 2002-2733 du 21 janvier 2003</w:t>
      </w:r>
    </w:p>
    <w:p>
      <w:r>
        <w:t>IT: CH_VB 378 2002-2733 del 21 gennaio 2003</w:t>
      </w:r>
    </w:p>
    <w:p>
      <w:pPr>
        <w:pStyle w:val="Heading2"/>
      </w:pPr>
      <w:r>
        <w:t>Erwägungen</w:t>
      </w:r>
    </w:p>
    <w:p>
      <w:r>
        <w:rPr>
          <w:b/>
        </w:rPr>
        <w:t>E. 1</w:t>
      </w:r>
    </w:p>
    <w:p>
      <w:r>
        <w:t>Le présent arrêté s’applique sur tout le territoire de la Confédération suisse. Ne sont pas soumis à la présente CCT les employeurs et travailleurs des cantons de GE, VD, VS, NE, JU et FR.</w:t>
      </w:r>
    </w:p>
    <w:p>
      <w:r>
        <w:rPr>
          <w:b/>
        </w:rPr>
        <w:t>E. 2</w:t>
      </w:r>
    </w:p>
    <w:p>
      <w:r>
        <w:t>Des tirés à part de l’extension peuvent être obtenus auprès de OFCL, Diffusion publications, 3003 Berne.</w:t>
      </w:r>
    </w:p>
    <w:p>
      <w:r>
        <w:t>Champ d’application de la convention collective de travail de l’industrie Suisse de la Carrosserie 379 d. les apprentis e. les travailleurs dont le taux d’occupation est inférieur à 40 pour cent. Art. 3 Chaque année, les comptes annuels détaillés, ainsi que le budget pour le prochain exercice doivent être soumis à la Direction du travail du seco au sujet des contribu- tions aux frais d’exécution (art. 18).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 présent arrêté entre en vigueur le 1er février 2003 et a effet jusqu’au 30 juin 2006. 21 janvier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de l'industrie Suisse de la Carrosserie In Bundesblatt Dans Feuille fédérale In Foglio federale Jahr 2003 Année Anno Band 1 Volume Volume Heft</w:t>
      </w:r>
    </w:p>
    <w:p>
      <w:r>
        <w:rPr>
          <w:b/>
        </w:rPr>
        <w:t>E. 03</w:t>
      </w:r>
    </w:p>
    <w:p>
      <w:r>
        <w:t>Cahier Numero Geschäftsnummer --- Numéro d'affaire Numero dell'oggetto Datum 28.01.2003 Date Data Seite 378-379 Page Pagina Ref. No 10 126 946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