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3666 2002-1075 vom 28. Mai 2002</w:t>
      </w:r>
    </w:p>
    <w:p>
      <w:r>
        <w:t>Bundesverwaltung, 2002-05-28, DE</w:t>
      </w:r>
    </w:p>
    <w:p>
      <w:r>
        <w:rPr>
          <w:b/>
        </w:rPr>
        <w:t xml:space="preserve">Quelle: </w:t>
      </w:r>
      <w:r>
        <w:t>https://mcp.opencaselaw.ch/entscheid/ch_vb_3666_2002-1075</w:t>
      </w:r>
    </w:p>
    <w:p>
      <w:r>
        <w:t>FR: CH_VB 3666 2002-1075 du 28 mai 2002</w:t>
      </w:r>
    </w:p>
    <w:p>
      <w:r>
        <w:t>IT: CH_VB 3666 2002-1075 del 28 maggio 2002</w:t>
      </w:r>
    </w:p>
    <w:p>
      <w:pPr>
        <w:pStyle w:val="Heading2"/>
      </w:pPr>
      <w:r>
        <w:t>Volltext</w:t>
      </w:r>
    </w:p>
    <w:p>
      <w:r>
        <w:t>3666 2002-1075 Communication de la Commission de la concurrence (art. 28 de la loi fédérale du 6 octobre 1995 sur les cartels et autres restrictions à la concurrence, RS 251) La Commission de la concurrence a ordonné l’ouverture d’une enquête au sens de l’art. 27 de la loi sur les cartels (LCart) contre Swisscom SA, dont le siège est à Berne. Par la même occasion, la Commission de la concurrence a rendu des mesures provisionnelles contre la même entreprise afin d’assurer le maintien de la concur- rence efficace pendant la durée de la procédure. Swisscom SA met son réseau à disposition d’autres fournisseurs de services Internet, contre rémunération, pour leur permettre d’offrir des services ADSL. Une échelle de rabais permet à Bluewin, filiale de Swisscom, de profiter d’un rabais maximal, en raison du nombre de ses clients. Ceci permet à Bluewin d’offrir ses services ADSL à ses clients finaux à un prix inférieur aux taxes d’utilisation du réseau facturées aux fournisseurs concurrents. S’ils désirent participer à la procédure, les tiers concernés peuvent s’annoncer au secrétariat de la Commission de la concurrence dans un délai de 30 jours à compter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28 mai 2002 Commission de la concurrence: Secrétariat</w:t>
      </w:r>
    </w:p>
    <w:p>
      <w:r>
        <w:t>Schweizerisches Bundesarchiv, Digitale Amtsdruckschriften Archives fédérales suisses, Publications officielles numérisées Archivio federale svizzero, Pubblicazioni ufficiali digitali Communication: Enquête contre Swisscom SA In Bundesblatt Dans Feuille fédérale In Foglio federale Jahr 2002 Année Anno Band 1 Volume Volume Heft 21 Cahier Numero Geschäftsnummer --- Numéro d'affaire Numero dell'oggetto Datum 28.05.2002 Date Data Seite 3666-3666 Page Pagina Ref. No 10 126 325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