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3554 2003-1130 vom 12. Juni 1995</w:t>
      </w:r>
    </w:p>
    <w:p>
      <w:r>
        <w:t>Bundesverwaltung, 1995-06-12, DE</w:t>
      </w:r>
    </w:p>
    <w:p>
      <w:r>
        <w:rPr>
          <w:b/>
        </w:rPr>
        <w:t xml:space="preserve">Quelle: </w:t>
      </w:r>
      <w:r>
        <w:t>https://mcp.opencaselaw.ch/entscheid/ch_vb_3554_2003-1130</w:t>
      </w:r>
    </w:p>
    <w:p>
      <w:r>
        <w:t>FR: CH_VB 3554 2003-1130 du 12 juin 1995</w:t>
      </w:r>
    </w:p>
    <w:p>
      <w:r>
        <w:t>IT: CH_VB 3554 2003-1130 del 12 giugno 1995</w:t>
      </w:r>
    </w:p>
    <w:p>
      <w:pPr>
        <w:pStyle w:val="Heading2"/>
      </w:pPr>
      <w:r>
        <w:t>Volltext</w:t>
      </w:r>
    </w:p>
    <w:p>
      <w:r>
        <w:t>3554 2003-1130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10 juin 2003 seco – Direction du travail Installations et appareils technique: Marcel Berthoud Annexe Normes techniques pour les machines Numéro Titre Référence journal off. – CE EN 1495 Matériels de mise à niveau – Plates-formes de travail se déplaçant le long de mât(s) Avertissement: La présente publication ne concerne pas le point 5.3.2.4, le point 7.1.2.12, dernier alinéa, le tableau 8 et la figure 9 de la norme EN 1495:1997, pour lesquels elle ne donne aucune présomption de conformité aux dispositions de la directive 98/37/CE. 03/L 83/70</w:t>
      </w:r>
    </w:p>
    <w:p>
      <w:r>
        <w:t>1 Voir également FF 1997 III 1270, 1997 IV 133, 1997 IV 502, 1998 944, 1999 8049, 2000 1756, 4636, 2001 1235 1302 2004 2002 5471 2003 1907</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2003 Année Anno Band 1 Volume Volume Heft 22 Cahier Numero Geschäftsnummer --- Numéro d'affaire Numero dell'oggetto Datum 10.06.2003 Date Data Seite 3554-3554 Page Pagina Ref. No 10 127 357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