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2006-1787 vom 3. Mai 2006</w:t>
      </w:r>
    </w:p>
    <w:p>
      <w:r>
        <w:t>Bundesverwaltung, 2006-05-03, DE</w:t>
      </w:r>
    </w:p>
    <w:p>
      <w:r>
        <w:rPr>
          <w:b/>
        </w:rPr>
        <w:t xml:space="preserve">Quelle: </w:t>
      </w:r>
      <w:r>
        <w:t>https://mcp.opencaselaw.ch/entscheid/ch_vb_32_2006-1787_</w:t>
      </w:r>
    </w:p>
    <w:p>
      <w:r>
        <w:t>FR: CH_VB 32 2006-1787 du 3 mai 2006</w:t>
      </w:r>
    </w:p>
    <w:p>
      <w:r>
        <w:t>IT: CH_VB 32 2006-1787 del 3 maggio 2006</w:t>
      </w:r>
    </w:p>
    <w:p>
      <w:pPr>
        <w:pStyle w:val="Heading2"/>
      </w:pPr>
      <w:r>
        <w:t>Volltext</w:t>
      </w:r>
    </w:p>
    <w:p>
      <w:r>
        <w:t>5332 2006-1787 Publications des tribunaux</w:t>
      </w:r>
    </w:p>
    <w:p>
      <w:r>
        <w:t>Communication (art. 11 PCF en relation avec les art. 40 et 135 OJ) A Urs Stöhrmann Statuant sur le recours de droit administratif de Urs Stöhrmann, c/o Rehema Rajab Kopilo, PO Box 12141, 80117 Mtopanga MSA/Kenya, du 3 avril 2006, le Tribunal fédéral des assurances, par arrêt du 3 mai 2006, a prononcé: 1. Le recours est irrecevable. 2. Il n'est pas perçu de frais de justice. Un exemplaire de l'arrêt ainsi que les annexes sont à votre disposition à la chancel- lerie du Tribunal fédéral des assurances. 27 juin 2006 Tribunal fédéral des assurances p.o. de la Présidente:</w:t>
      </w:r>
    </w:p>
    <w:p>
      <w:r>
        <w:t>Le directeur de la Chancellerie, Studer C 99/06</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25 Cahier Numero Geschäftsnummer --- Numéro d'affaire Numero dell'oggetto Datum 27.06.2006 Date Data Seite 5332-5332 Page Pagina Ref. No 10 139 705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