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3127 vom 25. November 2000</w:t>
      </w:r>
    </w:p>
    <w:p>
      <w:r>
        <w:t>Bundesverwaltung, 2000-11-25, DE</w:t>
      </w:r>
    </w:p>
    <w:p>
      <w:r>
        <w:rPr>
          <w:b/>
        </w:rPr>
        <w:t xml:space="preserve">Quelle: </w:t>
      </w:r>
      <w:r>
        <w:t>https://mcp.opencaselaw.ch/entscheid/ch_vb_3127</w:t>
      </w:r>
    </w:p>
    <w:p>
      <w:r>
        <w:t>FR: CH_VB 3127 du 25 novembre 2000</w:t>
      </w:r>
    </w:p>
    <w:p>
      <w:r>
        <w:t>IT: CH_VB 3127 del 25 novembre 2000</w:t>
      </w:r>
    </w:p>
    <w:p>
      <w:pPr>
        <w:pStyle w:val="Heading2"/>
      </w:pPr>
      <w:r>
        <w:t>Erwägungen</w:t>
      </w:r>
    </w:p>
    <w:p>
      <w:r>
        <w:rPr>
          <w:b/>
        </w:rPr>
        <w:t>E. 1</w:t>
      </w:r>
    </w:p>
    <w:p>
      <w:r>
        <w:t>RS 161.1; RO 1997 753</w:t>
      </w:r>
    </w:p>
    <w:p>
      <w:r>
        <w:rPr>
          <w:b/>
        </w:rPr>
        <w:t>E. 2</w:t>
      </w:r>
    </w:p>
    <w:p>
      <w:r>
        <w:t>RS 161.11; RO 1997 761</w:t>
      </w:r>
    </w:p>
    <w:p>
      <w:r>
        <w:rPr>
          <w:b/>
        </w:rPr>
        <w:t>E. 3</w:t>
      </w:r>
    </w:p>
    <w:p>
      <w:r>
        <w:t>RS 311.0 3128 1999-132</w:t>
      </w:r>
    </w:p>
    <w:p>
      <w:r>
        <w:t>Initiative populaire fédérale L'initiative populaire peut être retirée sans réserve par une décision prise à la majorité absolue des auteurs suivants: N° 1. 2.</w:t>
      </w:r>
    </w:p>
    <w:p>
      <w:r>
        <w:rPr>
          <w:b/>
        </w:rPr>
        <w:t>E. 14</w:t>
      </w:r>
    </w:p>
    <w:p>
      <w:r>
        <w:t>Nom Maurer Nationalrat Hasler Nationalrat Dr. Blocher Nationalrat Föhn Nationalrat Freund Nationalrat Weyeneth Nationalrat Küster Weber Bugnon Estermann Nägeli Danzi Stamm Nationalrat Brandii Ständerat Prénom Ueli Ernst Christoph Peter Jakob Hermann Mark Esther André Hannes Willy Carlo Luzi Christoffel Rue Rebacher Haldenweg Wängirain Gängstrasse Schaienhaus Quellenweg Alpenblick Stationstrasse Bon-Boccard Mühlebachweid Kurhausstrasse Via San Francesco Pilgerstrasse Hochwangstrasse N° 12 1 53 38 20</w:t>
      </w:r>
    </w:p>
    <w:p>
      <w:r>
        <w:rPr>
          <w:b/>
        </w:rPr>
        <w:t>E. 17</w:t>
      </w:r>
    </w:p>
    <w:p>
      <w:r>
        <w:t>40 3 5</w:t>
      </w:r>
    </w:p>
    <w:p>
      <w:r>
        <w:rPr>
          <w:b/>
        </w:rPr>
        <w:t>E. 22</w:t>
      </w:r>
    </w:p>
    <w:p>
      <w:r>
        <w:t>3 NPA 8342 4802 8704 6436 9055 3303 8311 8472 1162 6102 8374 6948 5405 7302 Localité Wernetshausen Strengelbach Herrliberg Muotathal Bühler Jegenstorf Brütten Seuzach Saint-Prex Malters Oberwangen Forza Dättwil Landquart Le titre de l'initiative populaire fédérale „contre les abus dans le droit d'asile" remplit les conditions fixées à l'article 69, 2e alinéa, de la loi fédérale du 17 décembre 1976 sur les droits politiques. 13129</w:t>
      </w:r>
    </w:p>
    <w:p>
      <w:r>
        <w:t>Initiative populaire fédérale La présente décision sera communiquée au comité d'initiative, Union Démocratique du Centre UDC, secrétariat général: Madame Aliki Panayides, Brückfeldstrasse 18, case postale, 3000 Berne 26, et publiée dans la Feuille fédérale du 25 mai 1999. 11 mai 1999 CHANCELLERIE FÉDÉRALE SUISSE: Le chancelier de la Confédération, François Couchepin 3130</w:t>
      </w:r>
    </w:p>
    <w:p>
      <w:r>
        <w:t>Initiative populaire fédérale Initiative populaire fédérale „contre les abus dans le droit d'asile" L'initiative populaire a la teneur suivante: I La constitution fédérale du 18 avril 1999 est complétée comme suit: Art. 121, al. la (nouveau) 'aPour empêcher le recours abusif au droit d'asile, la Confédération observe notamment les principes suivants, sous réserve des obligations découlant du droit international public: a. l'autorité n'entre pas en matière sur une demande d'asile présentée par une personne entrée en Suisse au départ d'un Etat tiers réputé sûr, lorsque cette personne a déposé ou aurait pu déposer une demande dans cet Etat; b. le Conseil fédéral dresse une liste des Etats tiers réputés sûrs qui respectent l'accord sur le statut juridique des réfugiés et la convention européenne des droits de l'homme et des libertés fondamentales; c. ' les compagnies d'aviation concessionnaires pour le transport de ligne, qui desservent la Suisse sans respecter les prescriptions réglant leur participation au contrôle de l'immigration, sont sanctionnées. La loi fixe les modalités; 3131</w:t>
      </w:r>
    </w:p>
    <w:p>
      <w:r>
        <w:t>Initiative populaire fédérale d. les prestations d'assistance accordées aux requérants d'asile sont réglées de manière uniforme pour l'ensemble de la Suisse et en dérogation aux normes générales. Elles sont en principe.fournies en nature; e. les cantons désignent les dispensateurs de soins médicaux et dentaires aux requérants d'asile; f. les requérants d'asile dont la demande a été refusée ou sur la demande desquels l'autorité n'est pas entrée en matière, et dont le renvoi est possible, admissible et acceptable, ainsi que les requérants accueillis provisoirement qui ont gravement violé leurs obligations de collaborer, reçoivent jusqu'à leur départ de Suisse des prestations d'assistance publique limitées à un logement et une nourriture simples, et aux soins médicaux et dentaires d'urgence. Ils ne peuvent exercer une activité lucrative que dans le cadre d'un programme d'occupation public. II Les dispositions transitoires de la constitution fédérale sont complétées comme suit: Art. 197 (nouveau) 1. Disposition transitoire ad art. 121, al. la (droit d'asile) (nouvelle) Les dispositions de l'article 121, alinéa la,'entrent en vigueur trois mois après leur acceptation par le peuple et les cantons. Le Conseil fédéral édicté les dispositions d'exécution par voie d'ordonnance jusqu'à l'entrée en vigueur de la législation ordinaire. 40324 3132</w:t>
      </w:r>
    </w:p>
    <w:p>
      <w:r>
        <w:t>Autorisation particulière de lever le secret professionnel à des fins de recherche dans les domaines de la médecine et de la santé publique La Commission d'experts du secret professionnel en matière de recherche médicale, a, par voie de circulation du 19 mars 1999, en se fondant sur l'art. 321bis du code pénal (CP; RS 311.0) et les art. 1, 2, 9, al. 4, 10 et 11 de l'ordonnance du 14 juin 1993 concernant les autorisations de lever le secret professionnel en matière de recherche médicale (OALSP; RS 235.154), dans la cause «Pharmakoepidemiologischen Datenbank zu hospitalisierten Patien- tinnen und Patienten der Stiftung für Arzneimittelsicherheit/Comprehensive Hospital Drug Monitoring (SAS/CHDM)», concernant la demande d'autorisation particulière du 26 octobre 1998 de lever le secret professionnel au sens de l'art. 321bis CP à des fins de recherche dans les domaines de la médecine et de la santé publique, décidé: 1. Titulaire de l'autorisation a. Une autorisation particulière de lever le secret professionnel au sens de l'art. 321bis CP et de l'art. 2 OASLP est octroyée au Prof. Dr méd. P. J. Meier-Abt, directeur de la clinique pharmacologique de L'hôpital universitaire de Zurich, aux conditions et aux charges mentionnées ci-après dans le cadre de la divulga- tion de données non anonymisées, selon le ch. 2, et dans les limites des buts prévus sous ch. 3. Il doit signer une déclaration sur son obligation de garder le secret en vertu de l'art. 321bis CP. b. Une autorisation particulière de lever le secret professionnel au sens de l'art. 321bis CP et de l'art. 2 OALSP est octroyée au Dr méd. Karin Fattinger, méde- cin-chef de la clinique pharmacologique de l'hôpital universitaire de Zurich, ainsi qu'aux médecins assistants qui .y travaillent, aux conditions et aux charges mentionnées ci-après dans le cadre de la divulgation de données non anonymi- sées, selon le ch. 2, et dans les limites des buts prévus sous ch. 3. Ils doivent si- gner une déclaration sur leur obligation de garder le secret en vertu de l'art. 321b"CP. 2. Autorisation particulière pour la divulgation de données a. L'autorisation particulière délie du secret les médecins traitants de la clinique médicale de l'hôpital universitaire de Zurich ainsi que de l'hôpital'cantonal de Saint-Gall envers les titulaires de l'autorisation au sens du ch. 1. Ils sont ainsi autorisés à leur donner l'accès aux dossiers médicaux de patients hospitalisés clans l'un des hôpitaux nommés. La communication de données n'est valable que pour le but prévu sous le ch. 3, let. a. Cette autorisation est valable jusqu'à la notification écrite de cette décision. A partir de cet instant-là, les titulaires de l'autorisation doivent rechercher le consentement des personnes concernées, afin qu'elle donnent leur accord pour l'utilisation de leurs données dans le cadre du projet de recherche mentionné. 3133</w:t>
      </w:r>
    </w:p>
    <w:p>
      <w:r>
        <w:t>b'. 'L'autorisation particulière délie du secret les médecins traitants de la clinique médicale de l'hôpital universitaire de Zurich envers les titulaires de l'autorisation au sens du en. 1. Ils sont ainsi autorisés à leur donner l'accès aux dossiers médicaux de patients hospitalisés dans l'un des hôpitaux nommés. La communication de données n'est valable que pour le but prévu sous le ch. 3, let. b. c. L'octroi de l'autorisation n'engendre pour personne l'obligation de communi- quer les données. 3. But de la communication des données a. La communication de données soumises au secret professionnel au sens de l'art. 321 CP n'est autorisée que pour le projet: «Pharmakoepidemiölogischen Da- tenbank zu hospitalisierten Patientinnen und Patienten der Stiftung für Arznei- mittelsicherheit/Comprehensive Hospital Drug Monitoring (SAS/CHDM)». b. La communication de données soumises au secret professionnel au sens de l'art. 321 CP n'est autorisée que pour l'étude spéciale «liver injury» (dommages, au foie) lors d'une récolte rétrospective supplémentaire basée sur les résultats de laboratoires de patients identifiés dans le cadre du projet Arzneimittelsicherheit/ Comprehensive Hospital Drug Monitoring (SAS/CHDM». 4. Nature et durée de la conservation des données / accès autorisé aux données Les titulaires de l'autorisation selon le ch. 1 doivent conserver sous clé les données personnelles non anonymisées et les protéger de tout accès non autorisé. 5. Responsable de garantir la protection des données communiquées Le professeur Dr méd. P. J. Meier-Abt est chargé de garantir la protection des don- nées communiquées. 6. Charges a. A part le requérant, aucune personne'ne doit avoir accès aux données non ano- nymisées. b. Les titulaires de l'autorisation sont tenus d'orienter par écrit les médecins con- cernés sur l'étendue de l'autorisation accordée. Cette lettre doit être soumise pour approbation, aussitôt que possible, au président de la Commission d'experts via le Secrétariat de la Commission. En outre, l'orientation doit con- • tenir, concernant les données récoltées après le l" janvier 1996, l'indication selon laquelle les patients doivent être ultérieurement informés sur le projet de recherche. 7. Voies de recours Conformément aux art. 33, al. 1, let. c, de la loi fédérale du 19 juin 1992 sur la pro- tection des données (LPD; RS 235.1) et 44 ss de la loi fédérale sur la procédure administrative (LPA; RS 172.021), cette décision peut faire l'objet d'un recours administratif auprès de la Commission fédérale de la protection des données, case postale, 3000 Berne 7, dans un délai de 30 jours dès sa notification ou sa publication dans la Feuille fédérale. Le mémoire de recours doit être produit en deux exemplai- res, indiquer les conclusions, motifs et moyens de preuve et porter la signature du recourant ou de son mandataire. 3134</w:t>
      </w:r>
    </w:p>
    <w:p>
      <w:r>
        <w:t>8. Communication et publication La présente décision est notifiée aux titulaires de l'autorisation au sens du point 1, ainsi qu'au Préposé fédéral à la protection des données. Le dispositif de cette déci- sion est publié dans la Feuille fédérale. Quiconque a qualité pour recourir peut, sur rendez-vous et pendant la durée du délai de recours, prendre connaissance des consi- dérants de cette décision au Secrétariat de la Commission d'experts, Office fédéral de la santé publique/OFSP, division juridique, 3003 Berne (tél. 031 / 322 94 94).</w:t>
      </w:r>
    </w:p>
    <w:p>
      <w:r>
        <w:rPr>
          <w:b/>
        </w:rPr>
        <w:t>E. 25</w:t>
      </w:r>
    </w:p>
    <w:p>
      <w:r>
        <w:t>mai 1999 Office fédéral de métrologie: Le directeur, Schwitz 3139</w:t>
      </w:r>
    </w:p>
    <w:p>
      <w:r>
        <w:t>Décision dans la procédure d'opposition n" 183/1994 Opposante Hachette Filipacchi Presse, 149, rue Anatole-France, F-92534 Levallois- Perret Cedex, marque internationale IR-R 292 472 (ELLE), représentant!e Kirker &amp; Cie, Conseils en Marques SA, 14, rue du Mont-Blanc, 1201 Genève contre défendresse LL&amp;L Mode Fabrication GmbH, Fabrikstrasse 18, D-7311 Owen, marque internationale IR 609 269 (LL &amp; L) L'Institut Fédéral de la Propriété Intellectuelle à rendu le 14 mai 1999 la décision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