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3122 2008-1086 vom 18. Mai 2005</w:t>
      </w:r>
    </w:p>
    <w:p>
      <w:r>
        <w:t>Bundesverwaltung, 2005-05-18, DE</w:t>
      </w:r>
    </w:p>
    <w:p>
      <w:r>
        <w:rPr>
          <w:b/>
        </w:rPr>
        <w:t xml:space="preserve">Quelle: </w:t>
      </w:r>
      <w:r>
        <w:t>https://mcp.opencaselaw.ch/entscheid/ch_vb_3122_2008-1086_</w:t>
      </w:r>
    </w:p>
    <w:p>
      <w:r>
        <w:t>FR: CH_VB 3122 2008-1086 du 18 mai 2005</w:t>
      </w:r>
    </w:p>
    <w:p>
      <w:r>
        <w:t>IT: CH_VB 3122 2008-1086 del 18 maggio 2005</w:t>
      </w:r>
    </w:p>
    <w:p>
      <w:pPr>
        <w:pStyle w:val="Heading2"/>
      </w:pPr>
      <w:r>
        <w:t>Erwägungen</w:t>
      </w:r>
    </w:p>
    <w:p>
      <w:r>
        <w:rPr>
          <w:b/>
        </w:rPr>
        <w:t>E. 1</w:t>
      </w:r>
    </w:p>
    <w:p>
      <w:r>
        <w:t>Caractéristiques du produit (pour tous les produits mentionnés) Substance(s) active(s): pyriméthanil 400 g/l Formulation: SC suspension concentrée</w:t>
      </w:r>
    </w:p>
    <w:p>
      <w:r>
        <w:rPr>
          <w:b/>
        </w:rPr>
        <w:t>E. 2</w:t>
      </w:r>
    </w:p>
    <w:p>
      <w:r>
        <w:t>= Le dosage doit s’appliquer à un volume d’arbre de 10 000 m3 par ha.</w:t>
      </w:r>
    </w:p>
    <w:p>
      <w:r>
        <w:rPr>
          <w:b/>
        </w:rPr>
        <w:t>E. 3</w:t>
      </w:r>
    </w:p>
    <w:p>
      <w:r>
        <w:t>= 3 traitements au maximum par parcelle et par année avec des produits du même groupe de matières actives.</w:t>
      </w:r>
    </w:p>
    <w:p>
      <w:r>
        <w:rPr>
          <w:b/>
        </w:rPr>
        <w:t>E. 4</w:t>
      </w:r>
    </w:p>
    <w:p>
      <w:r>
        <w:t>= Uniquement en mélange avec du Captan 80 WDG (0.1 %, 1.6 kg/ha) ou du Delan WG (0.03 %, 480 g/ha).</w:t>
      </w:r>
    </w:p>
    <w:p>
      <w:r>
        <w:rPr>
          <w:b/>
        </w:rPr>
        <w:t>E. 5</w:t>
      </w:r>
    </w:p>
    <w:p>
      <w:r>
        <w:t>= Dernier traitement au début du stade pâteux ou lorsque la couleur commence à changer, mais à la mi-août au plus tard.</w:t>
      </w:r>
    </w:p>
    <w:p>
      <w:r>
        <w:rPr>
          <w:b/>
        </w:rPr>
        <w:t>E. 6</w:t>
      </w:r>
    </w:p>
    <w:p>
      <w:r>
        <w:t>= 2 traitements par parcelle et par année au maximum.</w:t>
      </w:r>
    </w:p>
    <w:p>
      <w:r>
        <w:rPr>
          <w:b/>
        </w:rPr>
        <w:t>E. 7</w:t>
      </w:r>
    </w:p>
    <w:p>
      <w:r>
        <w:t>= En mélange avec 1,0 l/ha d’Horizon 250 EW.</w:t>
      </w:r>
    </w:p>
    <w:p>
      <w:r>
        <w:rPr>
          <w:b/>
        </w:rPr>
        <w:t>E. 8</w:t>
      </w:r>
    </w:p>
    <w:p>
      <w:r>
        <w:t>= En cas de forte attaque seulement.</w:t>
      </w:r>
    </w:p>
    <w:p>
      <w:r>
        <w:rPr>
          <w:b/>
        </w:rPr>
        <w:t>E. 9</w:t>
      </w:r>
    </w:p>
    <w:p>
      <w:r>
        <w:t>= Pour la culture de jeunes plants, traitement dans les 15 jours suivant la mise en place définitive.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w:t>
      </w:r>
    </w:p>
    <w:p>
      <w:r>
        <w:t>3124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14</w:t>
      </w:r>
    </w:p>
    <w:p>
      <w:r>
        <w:t>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w:t>
      </w:r>
    </w:p>
    <w:p>
      <w:r>
        <w:rPr>
          <w:b/>
        </w:rPr>
        <w:t>E. 19</w:t>
      </w:r>
    </w:p>
    <w:p>
      <w:r>
        <w:t>Cahier Numero Geschäftsnummer --- Numéro d'affaire Numero dell'oggetto Datum 14.05.2008 Date Data Seite 3122-3124 Page Pagina Ref. No 10 141 767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