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3118 2008-1084 vom 18. Mai 2005</w:t>
      </w:r>
    </w:p>
    <w:p>
      <w:r>
        <w:t>Bundesverwaltung, 2005-05-18, DE</w:t>
      </w:r>
    </w:p>
    <w:p>
      <w:r>
        <w:rPr>
          <w:b/>
        </w:rPr>
        <w:t xml:space="preserve">Quelle: </w:t>
      </w:r>
      <w:r>
        <w:t>https://mcp.opencaselaw.ch/entscheid/ch_vb_3118_2008-1084_</w:t>
      </w:r>
    </w:p>
    <w:p>
      <w:r>
        <w:t>FR: CH_VB 3118 2008-1084 du 18 mai 2005</w:t>
      </w:r>
    </w:p>
    <w:p>
      <w:r>
        <w:t>IT: CH_VB 3118 2008-1084 del 18 maggio 2005</w:t>
      </w:r>
    </w:p>
    <w:p>
      <w:pPr>
        <w:pStyle w:val="Heading2"/>
      </w:pPr>
      <w:r>
        <w:t>Erwägungen</w:t>
      </w:r>
    </w:p>
    <w:p>
      <w:r>
        <w:rPr>
          <w:b/>
        </w:rPr>
        <w:t>E. 1</w:t>
      </w:r>
    </w:p>
    <w:p>
      <w:r>
        <w:t>Caractéristiques du produit (pour tous les produits mentionnés) Substance(s) active(s): flazasulfuron 25 % Formulation: WG granulés à disperser dans l’eau</w:t>
      </w:r>
    </w:p>
    <w:p>
      <w:r>
        <w:rPr>
          <w:b/>
        </w:rPr>
        <w:t>E. 2</w:t>
      </w:r>
    </w:p>
    <w:p>
      <w:r>
        <w:t>Produits commerciaux Chikara Numéro d’homologation suisse: B-4250 Pays d’origine: Belgique numéro d’homologation étranger: 9249-B titulaire de l’autorisation étranger: ISK Biosciences Europe S.A. Chikara 25 WG Numéro d’homologation suisse: I-4251 Pays d’origine: Italie numéro d’homologation étranger: 10929 titulaire de l’autorisation étranger: Belchim Crop Protection Italia S.P.A Applications autorisées: Domaine d’application Organisme nuisible/effets Application (*) Viticulture</w:t>
      </w:r>
    </w:p>
    <w:p>
      <w:r>
        <w:t>vigne en production dicotylédones annuelles, dicotylédones vivaces, monocotylédones annuelles, monocotylédones vivaces Effet partiel: chiendent Dosage: 0.15 kg/ha Application: période de végétation, dès la 4e année de culture. 1, 2, 3,</w:t>
      </w:r>
    </w:p>
    <w:p>
      <w:r>
        <w:rPr>
          <w:b/>
        </w:rPr>
        <w:t>E. 4</w:t>
      </w:r>
    </w:p>
    <w:p>
      <w:r>
        <w:t>1 RS 916.161</w:t>
      </w:r>
    </w:p>
    <w:p>
      <w:r>
        <w:t>3119 Domaine d’application Organisme nuisible/effets Application (*) vigne en production dicotylédones vivaces Effet partiel: chardon ou cirse des champs, liseron des champs, liseron des haies Dosage: 0.15–0.2 kg/ha Application: période de végétation, dès la 4e année de culture. 1, 2, 3, 4, 5 vigne en production prêles (Equisetaceae) Dosage: 0.2 kg/ha Application: juillet, août, dès la 4e année de culture. 2, 4, 5,</w:t>
      </w:r>
    </w:p>
    <w:p>
      <w:r>
        <w:rPr>
          <w:b/>
        </w:rPr>
        <w:t>E. 6</w:t>
      </w:r>
    </w:p>
    <w:p>
      <w:r>
        <w:t>= Un mélange avec 1080 g/ha de Glyphosate (substance active) et l’adjonction d’un mouil- lant est conseillé.</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Celui-ci doit être adressé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14 mai 2008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2008 Année Anno Band 1 Volume Volume Heft 19 Cahier Numero Geschäftsnummer --- Numéro d'affaire Numero dell'oggetto Datum 14.05.2008 Date Data Seite 3118-3119 Page Pagina Ref. No</w:t>
      </w:r>
    </w:p>
    <w:p>
      <w:r>
        <w:rPr>
          <w:b/>
        </w:rPr>
        <w:t>E. 10</w:t>
      </w:r>
    </w:p>
    <w:p>
      <w:r>
        <w:t>141 765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