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3112 2008-1082 vom 18. Mai 2005</w:t>
      </w:r>
    </w:p>
    <w:p>
      <w:r>
        <w:t>Bundesverwaltung, 2005-05-18, DE</w:t>
      </w:r>
    </w:p>
    <w:p>
      <w:r>
        <w:rPr>
          <w:b/>
        </w:rPr>
        <w:t xml:space="preserve">Quelle: </w:t>
      </w:r>
      <w:r>
        <w:t>https://mcp.opencaselaw.ch/entscheid/ch_vb_3112_2008-1082_</w:t>
      </w:r>
    </w:p>
    <w:p>
      <w:r>
        <w:t>FR: CH_VB 3112 2008-1082 du 18 mai 2005</w:t>
      </w:r>
    </w:p>
    <w:p>
      <w:r>
        <w:t>IT: CH_VB 3112 2008-1082 del 18 maggio 2005</w:t>
      </w:r>
    </w:p>
    <w:p>
      <w:pPr>
        <w:pStyle w:val="Heading2"/>
      </w:pPr>
      <w:r>
        <w:t>Volltext</w:t>
      </w:r>
    </w:p>
    <w:p>
      <w:r>
        <w:t>3112 2008-1082 Décision de portée générale concernant l’admission d’un produit phytosanitaire dans la liste des produits phytosanitaires non soumis à autorisation du 14 mai 2008</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flufenacetate 60 % métosulame 2.5 % Formulation: WG granulés à disperser dans l’eau 2. Produits commerciaux Terano Numéro d’homologation suisse: A-4246 Pays d’origine: Autriche numéro d’homologation étranger: 2603-0 titulaire de l’autorisation étranger: Bayer Austria GmbH Geschäftsbereich für Pflanzenschutz Applications autorisées: Domaine d’application Organisme nuisible/effets Application (*) Grande culture</w:t>
      </w:r>
    </w:p>
    <w:p>
      <w:r>
        <w:t>maïs dicotylédones, monocotylédones Dosage: 0.8–1 kg/ha Application: printemps: pré-levée, post-levée précoce.</w:t>
      </w:r>
    </w:p>
    <w:p>
      <w:r>
        <w:t>1 RS 916.161</w:t>
      </w:r>
    </w:p>
    <w:p>
      <w:r>
        <w:t>3113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3112-3113 Page Pagina Ref. No 10 141 763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