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310 2008-0057 vom 28. Dezember 2007</w:t>
      </w:r>
    </w:p>
    <w:p>
      <w:r>
        <w:t>Bundesverwaltung, 2007-12-28, DE</w:t>
      </w:r>
    </w:p>
    <w:p>
      <w:r>
        <w:rPr>
          <w:b/>
        </w:rPr>
        <w:t xml:space="preserve">Quelle: </w:t>
      </w:r>
      <w:r>
        <w:t>https://mcp.opencaselaw.ch/entscheid/ch_vb_310_2008-0057_</w:t>
      </w:r>
    </w:p>
    <w:p>
      <w:r>
        <w:t>FR: CH_VB 310 2008-0057 du 28 décembre 2007</w:t>
      </w:r>
    </w:p>
    <w:p>
      <w:r>
        <w:t>IT: CH_VB 310 2008-0057 del 28 dicembre 2007</w:t>
      </w:r>
    </w:p>
    <w:p>
      <w:pPr>
        <w:pStyle w:val="Heading2"/>
      </w:pPr>
      <w:r>
        <w:t>Erwägungen</w:t>
      </w:r>
    </w:p>
    <w:p>
      <w:r>
        <w:rPr>
          <w:b/>
        </w:rPr>
        <w:t>E. 1</w:t>
      </w:r>
    </w:p>
    <w:p>
      <w:r>
        <w:t>L’opposition no 8502-8503 est close par classement.</w:t>
      </w:r>
    </w:p>
    <w:p>
      <w:r>
        <w:rPr>
          <w:b/>
        </w:rPr>
        <w:t>E. 2</w:t>
      </w:r>
    </w:p>
    <w:p>
      <w:r>
        <w:t>Les taxes d’opposition de 800 francs chacune restent acquises à l’Institut.</w:t>
      </w:r>
    </w:p>
    <w:p>
      <w:r>
        <w:rPr>
          <w:b/>
        </w:rPr>
        <w:t>E. 3</w:t>
      </w:r>
    </w:p>
    <w:p>
      <w:r>
        <w:t>Aucuns dépens ne sont attribués aux parties.</w:t>
      </w:r>
    </w:p>
    <w:p>
      <w:r>
        <w:rPr>
          <w:b/>
        </w:rPr>
        <w:t>E. 4</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28 décembre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8502-8503 In Bundesblatt Dans Feuille fédérale In Foglio federale Jahr 2008 Année Anno Band 1 Volume Volume Heft 03 Cahier Numero Geschäftsnummer --- Numéro d'affaire Numero dell'oggetto Datum 22.01.2008 Date Data Seite 310-310 Page Pagina Ref. No 10 141 335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