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2006-0847 vom 14. Juni 1993</w:t>
      </w:r>
    </w:p>
    <w:p>
      <w:r>
        <w:t>Bundesverwaltung, 1993-06-14, DE</w:t>
      </w:r>
    </w:p>
    <w:p>
      <w:r>
        <w:rPr>
          <w:b/>
        </w:rPr>
        <w:t xml:space="preserve">Quelle: </w:t>
      </w:r>
      <w:r>
        <w:t>https://mcp.opencaselaw.ch/entscheid/ch_vb_30_2006-0847_</w:t>
      </w:r>
    </w:p>
    <w:p>
      <w:r>
        <w:t>FR: CH_VB 30 2006-0847 du 14 juin 1993</w:t>
      </w:r>
    </w:p>
    <w:p>
      <w:r>
        <w:t>IT: CH_VB 30 2006-0847 del 14 giugno 1993</w:t>
      </w:r>
    </w:p>
    <w:p>
      <w:pPr>
        <w:pStyle w:val="Heading2"/>
      </w:pPr>
      <w:r>
        <w:t>Erwägungen</w:t>
      </w:r>
    </w:p>
    <w:p>
      <w:r>
        <w:rPr>
          <w:b/>
        </w:rPr>
        <w:t>E. 1</w:t>
      </w:r>
    </w:p>
    <w:p>
      <w:r>
        <w:t>Titulaire de l’autorisation Le nouveau responsable pour les projets de recherche en lien avec la présente autori- sation à l’intérieur de l’Hôpital universitaire de Zurich est le Prof. Dr méd. Gustav K. von Schulthess, directeur médical. L’autorisation permet la consultation de données non anonymes, sans que le déten- teur de ces données ne viole son secret professionnel. Ceci n’est cependant valable qu’à l’intérieur de l’Hôpital universitaire de Zurich, titulaire de l’autorisation. Selon la nouvelle structure administrative et organisationnelle, l’Hôpital universitaire com- prend 5 départements (chirurgie, gynécologie, médecine interne, radiologie médi- cale, pathologie), 10 cliniques (clinique ophtalmologique, clinique dermatologique, clinique et polyclinique de chirurgie maxillo-faciale, clinique de neurochirurgie, clinique de neurologie, clinique d’oto-rhino-laryngologie et de chirurgie laryngo- faciale, clinique de rhumatologie et institut de physique médicale, pharmacologie et toxicologie, polyclinique psychiatrique, clinique d’urologie), 2 instituts (anesthésio- logie et chimie clinique) ainsi que le département de médecine psychosociale.</w:t>
      </w:r>
    </w:p>
    <w:p>
      <w:r>
        <w:rPr>
          <w:b/>
        </w:rPr>
        <w:t>E. 2</w:t>
      </w:r>
    </w:p>
    <w:p>
      <w:r>
        <w:t>But et étendue de l’accès aux données L’autorisation permet, pour les projets de recherche internes, d’accéder aux données relevantes contenues dans les banques de données internes de l’hôpital, y compris les systèmes d’exploitation d’images, les documents papier et les dossiers médicaux. Pour le reste, il n’y a aucun changement par rapport à l’autorisation et au dispositif de la décision d’origine.</w:t>
      </w:r>
    </w:p>
    <w:p>
      <w:r>
        <w:rPr>
          <w:b/>
        </w:rPr>
        <w:t>E. 3</w:t>
      </w:r>
    </w:p>
    <w:p>
      <w:r>
        <w:t>Durée de l’autorisation La présente autorisation est octroyée pour une durée de cinq ans à partir de son entrée en force. Les changements qui interviennent avant l’écoulement de ce délai sur les points suivants doivent être annoncés à la Commission d’experts: – changement du directeur médical;</w:t>
      </w:r>
    </w:p>
    <w:p>
      <w:r>
        <w:t>3231 – modification dans le concept d’origine concernant le respect des charges de l’autorisation; – changement du directeur de la commission d’éthique pour la recherche; – modification de la structure administrative ou organisationnelle de l’hôpital universitaire; – modification de la gestion des données; – modification du règlement d’accès; Après l’annonce du changement, la Commission d’experts se prononce sur l’oppor- tunité de délivrer une décision d’autorisation complémentaire.</w:t>
      </w:r>
    </w:p>
    <w:p>
      <w:r>
        <w:rPr>
          <w:b/>
        </w:rPr>
        <w:t>E. 4</w:t>
      </w:r>
    </w:p>
    <w:p>
      <w:r>
        <w:t>Voie de recours Conformément aux art. 33, al. 1, let. c, de la loi fédérale sur la protection des don- nées (LPD; RS 235.1) et 44 ss de la loi fédérale sur la procédure administrative (LPA;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 res, indiquer les conclusions, motifs et moyens de preuve et porter la signature du recourant ou de son mandataire.</w:t>
      </w:r>
    </w:p>
    <w:p>
      <w:r>
        <w:rPr>
          <w:b/>
        </w:rPr>
        <w:t>E. 5</w:t>
      </w:r>
    </w:p>
    <w:p>
      <w:r>
        <w:t>Communication et publication La présente décision est notifiée par écrit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28 mars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2006 Année Anno Band 1 Volume Volume Heft 12 Cahier Numero Geschäftsnummer --- Numéro d'affaire Numero dell'oggetto Datum 28.03.2006 Date Data Seite 3230-3231 Page Pagina Ref. No</w:t>
      </w:r>
    </w:p>
    <w:p>
      <w:r>
        <w:rPr>
          <w:b/>
        </w:rPr>
        <w:t>E. 10</w:t>
      </w:r>
    </w:p>
    <w:p>
      <w:r>
        <w:t>139 480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