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2005-2902 vom 27. Oktober 2005</w:t>
      </w:r>
    </w:p>
    <w:p>
      <w:r>
        <w:t>Bundesverwaltung, 2005-10-27, DE</w:t>
      </w:r>
    </w:p>
    <w:p>
      <w:r>
        <w:rPr>
          <w:b/>
        </w:rPr>
        <w:t xml:space="preserve">Quelle: </w:t>
      </w:r>
      <w:r>
        <w:t>https://mcp.opencaselaw.ch/entscheid/ch_vb_30_2005-2902_</w:t>
      </w:r>
    </w:p>
    <w:p>
      <w:r>
        <w:t>FR: CH_VB 30 2005-2902 du 27 octobre 2005</w:t>
      </w:r>
    </w:p>
    <w:p>
      <w:r>
        <w:t>IT: CH_VB 30 2005-2902 del 27 ottobre 2005</w:t>
      </w:r>
    </w:p>
    <w:p>
      <w:pPr>
        <w:pStyle w:val="Heading2"/>
      </w:pPr>
      <w:r>
        <w:t>Erwägungen</w:t>
      </w:r>
    </w:p>
    <w:p>
      <w:r>
        <w:rPr>
          <w:b/>
        </w:rPr>
        <w:t>E. 1</w:t>
      </w:r>
    </w:p>
    <w:p>
      <w:r>
        <w:t>L’appareil à sous ROULETTE SUPER SKILL V 6.2.1 est qualifié d’appareil à sous servant aux jeux d’adresse au sens de l’art. 3, al. 3, LMJ.</w:t>
      </w:r>
    </w:p>
    <w:p>
      <w:r>
        <w:rPr>
          <w:b/>
        </w:rPr>
        <w:t>E. 2</w:t>
      </w:r>
    </w:p>
    <w:p>
      <w:r>
        <w:t>L’installation et l’exploitation de l’appareil à sous ROULETTE SUPER SKILL V 6.2.1 sont autorisées sous réserve de la réalisation des conditions ci-après ainsi que des dispositions cantonales.</w:t>
      </w:r>
    </w:p>
    <w:p>
      <w:r>
        <w:rPr>
          <w:b/>
        </w:rPr>
        <w:t>E. 3</w:t>
      </w:r>
    </w:p>
    <w:p>
      <w:r>
        <w:t>Le paramètre réglable «noLimit» du Bonus Pot doit être éliminé.</w:t>
      </w:r>
    </w:p>
    <w:p>
      <w:r>
        <w:rPr>
          <w:b/>
        </w:rPr>
        <w:t>E. 4</w:t>
      </w:r>
    </w:p>
    <w:p>
      <w:r>
        <w:t>L’appareil examiné ainsi que les supports de mémoire analysés du pro- gramme définitif doivent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déterminante pour les questions d’admissibilité rela- tives à d’autres dispositions légales, en particulier celles du droit de la pro- priété intellectuelle, du droit des dessins et modèles industriels, du droit des marques et du droit de la concurrence.</w:t>
      </w:r>
    </w:p>
    <w:p>
      <w:r>
        <w:rPr>
          <w:b/>
        </w:rPr>
        <w:t>E. 7</w:t>
      </w:r>
    </w:p>
    <w:p>
      <w:r>
        <w:t>Les frais de procédure par 26 414 francs sont mis à la charge de ESCOR Automaten AG (art. 112 ss OLMJ). Le solde de 1414 francs en faveur de la CFMJ après déduction des avances représentant au total 25 000 francs doit être payé dans un délai de 30 jours à partir de l’entrée en vigueur de la pré- sente décision. Une facture correspondante sera envoyée.</w:t>
      </w:r>
    </w:p>
    <w:p>
      <w:r>
        <w:rPr>
          <w:b/>
        </w:rPr>
        <w:t>E. 8</w:t>
      </w:r>
    </w:p>
    <w:p>
      <w:r>
        <w:t>Notification et publication: A. ESCOR Automaten AG, Industriestrasse 34, 3186 Guin B. Cantons avec illustration C. Feuille fédérale</w:t>
      </w:r>
    </w:p>
    <w:p>
      <w:r>
        <w:rPr>
          <w:b/>
        </w:rPr>
        <w:t>E. 9</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ROULETTE SUPER SKILL V 6.2.1 In Bundesblatt Dans Feuille fédérale In Foglio federale Jahr 2005 Année Anno Band 1 Volume Volume Heft 45 Cahier Numero Geschäftsnummer --- Numéro d'affaire Numero dell'oggetto Datum 15.11.2005 Date Data Seite 6230-6230 Page Pagina Ref. No</w:t>
      </w:r>
    </w:p>
    <w:p>
      <w:r>
        <w:rPr>
          <w:b/>
        </w:rPr>
        <w:t>E. 10</w:t>
      </w:r>
    </w:p>
    <w:p>
      <w:r>
        <w:t>139 052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