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3090 2008-1074 vom 18. Mai 2005</w:t>
      </w:r>
    </w:p>
    <w:p>
      <w:r>
        <w:t>Bundesverwaltung, 2005-05-18, DE</w:t>
      </w:r>
    </w:p>
    <w:p>
      <w:r>
        <w:rPr>
          <w:b/>
        </w:rPr>
        <w:t xml:space="preserve">Quelle: </w:t>
      </w:r>
      <w:r>
        <w:t>https://mcp.opencaselaw.ch/entscheid/ch_vb_3090_2008-1074_</w:t>
      </w:r>
    </w:p>
    <w:p>
      <w:r>
        <w:t>FR: CH_VB 3090 2008-1074 du 18 mai 2005</w:t>
      </w:r>
    </w:p>
    <w:p>
      <w:r>
        <w:t>IT: CH_VB 3090 2008-1074 del 18 maggio 2005</w:t>
      </w:r>
    </w:p>
    <w:p>
      <w:pPr>
        <w:pStyle w:val="Heading2"/>
      </w:pPr>
      <w:r>
        <w:t>Erwägungen</w:t>
      </w:r>
    </w:p>
    <w:p>
      <w:r>
        <w:rPr>
          <w:b/>
        </w:rPr>
        <w:t>E. 1</w:t>
      </w:r>
    </w:p>
    <w:p>
      <w:r>
        <w:t>Caractéristiques du produit (pour tous les produits mentionnés) Substance(s) active(s): glyphosate 362.7 g/l Formulation: SL concentré soluble dans l’eau</w:t>
      </w:r>
    </w:p>
    <w:p>
      <w:r>
        <w:rPr>
          <w:b/>
        </w:rPr>
        <w:t>E. 2</w:t>
      </w:r>
    </w:p>
    <w:p>
      <w:r>
        <w:t>Produits commerciaux Stream SL Numéro d’homologation suisse: I-2727 Pays d’origine: Italie numéro d’homologation étranger: 8429 titulaire de l’autorisation étranger: Cheminova Agro Italia S.R.L. Applications autorisées: Domaine d’application Organisme nuisible/effets Application (*) Arboriculture</w:t>
      </w:r>
    </w:p>
    <w:p>
      <w:r>
        <w:t>fruits à noyaux, fruits à pépins, ronces chiendent rampant, dicotylé- dones annuelles, monocotylédo- nes annuelles Dosage: 2–3 l/ha 1, 2, 3,</w:t>
      </w:r>
    </w:p>
    <w:p>
      <w:r>
        <w:rPr>
          <w:b/>
        </w:rPr>
        <w:t>E. 4</w:t>
      </w:r>
    </w:p>
    <w:p>
      <w:r>
        <w:t>Culture maraîchère</w:t>
      </w:r>
    </w:p>
    <w:p>
      <w:r>
        <w:t>jachère chiendent rampant, dicotylé- dones annuelles, monocotylédo- nes annuelles Dosage: 2–3 l/ha 1, 2, 3,</w:t>
      </w:r>
    </w:p>
    <w:p>
      <w:r>
        <w:rPr>
          <w:b/>
        </w:rPr>
        <w:t>E. 5</w:t>
      </w:r>
    </w:p>
    <w:p>
      <w:r>
        <w:t>= Traitement jusqu’à 2 semaines au plus tard avant le semis ou la plantation.</w:t>
      </w:r>
    </w:p>
    <w:p>
      <w:r>
        <w:rPr>
          <w:b/>
        </w:rPr>
        <w:t>E. 6</w:t>
      </w:r>
    </w:p>
    <w:p>
      <w:r>
        <w:t>= 2 semaines de délai d’attente pour l’affouragement des génisses et des vaches taries.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3090-3092 Page Pagina Ref. No</w:t>
      </w:r>
    </w:p>
    <w:p>
      <w:r>
        <w:rPr>
          <w:b/>
        </w:rPr>
        <w:t>E. 10</w:t>
      </w:r>
    </w:p>
    <w:p>
      <w:r>
        <w:t>141 755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