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3058 2008-1054 vom 18. Mai 2005</w:t>
      </w:r>
    </w:p>
    <w:p>
      <w:r>
        <w:t>Bundesverwaltung, 2005-05-18, DE</w:t>
      </w:r>
    </w:p>
    <w:p>
      <w:r>
        <w:rPr>
          <w:b/>
        </w:rPr>
        <w:t xml:space="preserve">Quelle: </w:t>
      </w:r>
      <w:r>
        <w:t>https://mcp.opencaselaw.ch/entscheid/ch_vb_3058_2008-1054_</w:t>
      </w:r>
    </w:p>
    <w:p>
      <w:r>
        <w:t>FR: CH_VB 3058 2008-1054 du 18 mai 2005</w:t>
      </w:r>
    </w:p>
    <w:p>
      <w:r>
        <w:t>IT: CH_VB 3058 2008-1054 del 18 maggio 2005</w:t>
      </w:r>
    </w:p>
    <w:p>
      <w:pPr>
        <w:pStyle w:val="Heading2"/>
      </w:pPr>
      <w:r>
        <w:t>Erwägungen</w:t>
      </w:r>
    </w:p>
    <w:p>
      <w:r>
        <w:rPr>
          <w:b/>
        </w:rPr>
        <w:t>E. 1</w:t>
      </w:r>
    </w:p>
    <w:p>
      <w:r>
        <w:t>Caractéristiques du produit (pour tous les produits mentionnés) Substance(s) active(s): nicosulfuron 40 g/l Formulation: SC suspension concentrée</w:t>
      </w:r>
    </w:p>
    <w:p>
      <w:r>
        <w:rPr>
          <w:b/>
        </w:rPr>
        <w:t>E. 2</w:t>
      </w:r>
    </w:p>
    <w:p>
      <w:r>
        <w:t>Produits commerciaux Milagro Numéro d’homologation suisse: F-2617 Pays d’origine: France numéro d’homologation étranger: 9100438 titulaire de l’autorisation étranger: Syngenta Agro SAS Ghibli Numéro d’homologation suisse: I-2793 Pays d’origine: Italie numéro d’homologation étranger: 8540 titulaire de l’autorisation étranger: Syngenta Crop Protection S.P.A. Nisshin Numéro d’homologation suisse: I-2828 Pays d’origine: Italie numéro d’homologation étranger: 8843 titulaire de l’autorisation étranger: ISK Biosciences Europe S.A. SL-Fert Numéro d’homologation suisse: A-2853 Pays d’origine: Autriche numéro d’homologation étranger: 2514/2 titulaire de l’autorisation étranger: RWA Raiffeisen Ware Austria AG</w:t>
      </w:r>
    </w:p>
    <w:p>
      <w:r>
        <w:t>1 RS 916.161</w:t>
      </w:r>
    </w:p>
    <w:p>
      <w:r>
        <w:t>3059 Ghibli Numéro d’homologation suisse: A-2858 Pays d’origine: Autriche numéro d’homologation étranger: 2514/1 titulaire de l’autorisation étranger: TBH Agrochemie GmbH SL 950 Numéro d’homologation suisse: A-2868 Pays d’origine: Autriche numéro d’homologation étranger: 2514/0 titulaire de l’autorisation étranger: ISK Biosciences Europe S.A. Ghibli Numéro d’homologation suisse: A-4268 Pays d’origine: Autriche numéro d’homologation étranger: 2514-3 titulaire de l’autorisation étranger: TBH Agrochemie GmbH Applications autorisées: Domaine d’application Organisme nuisible/effets Application (*) Grande culture</w:t>
      </w:r>
    </w:p>
    <w:p>
      <w:r>
        <w:t>maïs dicotylédones annuelles, monocotylédones annuelles Effet partiel: chiendent rampant, prêles (Equisetaceae) Dosage: 1–1.5 l/ha Application: post-levée précoce; stade 2–4 feuilles,</w:t>
      </w:r>
    </w:p>
    <w:p>
      <w:r>
        <w:rPr>
          <w:b/>
        </w:rPr>
        <w:t>E. 6</w:t>
      </w:r>
    </w:p>
    <w:p>
      <w:r>
        <w:t>au maximum. 1</w:t>
      </w:r>
    </w:p>
    <w:p>
      <w:r>
        <w:t>(*) Charges et remarques 1 = Faire figurer dans le mode d’emploi la liste des variétés qui tolèrent le produit.</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w:t>
      </w:r>
    </w:p>
    <w:p>
      <w:r>
        <w:t>3060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14 mai 2008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2008 Année Anno Band 1 Volume Volume Heft 19 Cahier Numero Geschäftsnummer --- Numéro d'affaire Numero dell'oggetto Datum 14.05.2008 Date Data Seite 3058-3060 Page Pagina Ref. No</w:t>
      </w:r>
    </w:p>
    <w:p>
      <w:r>
        <w:rPr>
          <w:b/>
        </w:rPr>
        <w:t>E. 10</w:t>
      </w:r>
    </w:p>
    <w:p>
      <w:r>
        <w:t>141 744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