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3042 2008-1047 vom 18. Mai 2005</w:t>
      </w:r>
    </w:p>
    <w:p>
      <w:r>
        <w:t>Bundesverwaltung, 2005-05-18, DE</w:t>
      </w:r>
    </w:p>
    <w:p>
      <w:r>
        <w:rPr>
          <w:b/>
        </w:rPr>
        <w:t xml:space="preserve">Quelle: </w:t>
      </w:r>
      <w:r>
        <w:t>https://mcp.opencaselaw.ch/entscheid/ch_vb_3042_2008-1047_</w:t>
      </w:r>
    </w:p>
    <w:p>
      <w:r>
        <w:t>FR: CH_VB 3042 2008-1047 du 18 mai 2005</w:t>
      </w:r>
    </w:p>
    <w:p>
      <w:r>
        <w:t>IT: CH_VB 3042 2008-1047 del 18 maggio 2005</w:t>
      </w:r>
    </w:p>
    <w:p>
      <w:pPr>
        <w:pStyle w:val="Heading2"/>
      </w:pPr>
      <w:r>
        <w:t>Erwägungen</w:t>
      </w:r>
    </w:p>
    <w:p>
      <w:r>
        <w:rPr>
          <w:b/>
        </w:rPr>
        <w:t>E. 1</w:t>
      </w:r>
    </w:p>
    <w:p>
      <w:r>
        <w:t>Caractéristiques du produit (pour tous les produits mentionnés) Substance(s) active(s): soufre 825 g/l Formulation: SC suspension concentrée</w:t>
      </w:r>
    </w:p>
    <w:p>
      <w:r>
        <w:rPr>
          <w:b/>
        </w:rPr>
        <w:t>E. 2</w:t>
      </w:r>
    </w:p>
    <w:p>
      <w:r>
        <w:t>fruits à pépins oïdium du pommier/du poirier Effet partiel: tavelure des arbres fruitiers à pépins Concentration: 0.75 % Application: au débourrement.</w:t>
      </w:r>
    </w:p>
    <w:p>
      <w:r>
        <w:t>fruits à pépins oïdium du pommier/du poirier Effet partiel: tavelure des arbres fruitiers à pépins Concentration: 0.3–0.5 % Application: après la floraison.</w:t>
      </w:r>
    </w:p>
    <w:p>
      <w:r>
        <w:t>1 RS 916.161</w:t>
      </w:r>
    </w:p>
    <w:p>
      <w:r>
        <w:t>3043 Domaine d’application Organisme nuisible/effets Application (*) fruits à pépins oïdium du pommier/du poirier Effet partiel: tavelure des arbres fruitiers à pépins Concentration: 0.5–0.75 % Application: avant la floraison.</w:t>
      </w:r>
    </w:p>
    <w:p>
      <w:r>
        <w:rPr>
          <w:b/>
        </w:rPr>
        <w:t>E. 3</w:t>
      </w:r>
    </w:p>
    <w:p>
      <w:r>
        <w:t>pêcher/nectarine oïdium du pêcher, tavelure noire du pêcher Concentration: 0.3–0.5 % Délai d’attente: 3 Semaine(s) Application: après la floraison.</w:t>
      </w:r>
    </w:p>
    <w:p>
      <w:r>
        <w:t>ronces ériophyide des ronces Concentration: 2 % Application: pulvérisation au débourrement.</w:t>
      </w:r>
    </w:p>
    <w:p>
      <w:r>
        <w:t>ronces ériophyide des ronces Concentration: 1 % Application: après le débourrement (longueur des pousses 10–15 cm).</w:t>
      </w:r>
    </w:p>
    <w:p>
      <w:r>
        <w:rPr>
          <w:b/>
        </w:rPr>
        <w:t>E. 4</w:t>
      </w:r>
    </w:p>
    <w:p>
      <w:r>
        <w:t>= Traiter une deuxième fois en cas de forte attaque.</w:t>
      </w:r>
    </w:p>
    <w:p>
      <w:r>
        <w:rPr>
          <w:b/>
        </w:rPr>
        <w:t>E. 5</w:t>
      </w:r>
    </w:p>
    <w:p>
      <w:r>
        <w:t>= Convient également au traitement par voie aérienne.</w:t>
      </w:r>
    </w:p>
    <w:p>
      <w:r>
        <w:rPr>
          <w:b/>
        </w:rPr>
        <w:t>E. 6</w:t>
      </w:r>
    </w:p>
    <w:p>
      <w:r>
        <w:t>= Dans les endroits très infestés.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3044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3042-3044 Page Pagina Ref. No</w:t>
      </w:r>
    </w:p>
    <w:p>
      <w:r>
        <w:rPr>
          <w:b/>
        </w:rPr>
        <w:t>E. 10</w:t>
      </w:r>
    </w:p>
    <w:p>
      <w:r>
        <w:t>141 738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