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3026 2000-0823 vom 3. Februar 2000</w:t>
      </w:r>
    </w:p>
    <w:p>
      <w:r>
        <w:t>Bundesverwaltung, 2000-02-03, DE</w:t>
      </w:r>
    </w:p>
    <w:p>
      <w:r>
        <w:rPr>
          <w:b/>
        </w:rPr>
        <w:t xml:space="preserve">Quelle: </w:t>
      </w:r>
      <w:r>
        <w:t>https://mcp.opencaselaw.ch/entscheid/ch_vb_3026_2000-0823</w:t>
      </w:r>
    </w:p>
    <w:p>
      <w:r>
        <w:t>FR: CH_VB 3026 2000-0823 du 3 février 2000</w:t>
      </w:r>
    </w:p>
    <w:p>
      <w:r>
        <w:t>IT: CH_VB 3026 2000-0823 del 3 febbraio 2000</w:t>
      </w:r>
    </w:p>
    <w:p>
      <w:pPr>
        <w:pStyle w:val="Heading2"/>
      </w:pPr>
      <w:r>
        <w:t>Erwägungen</w:t>
      </w:r>
    </w:p>
    <w:p>
      <w:r>
        <w:rPr>
          <w:b/>
        </w:rPr>
        <w:t>E. 3</w:t>
      </w:r>
    </w:p>
    <w:p>
      <w:r>
        <w:t>mai 2000 Au nom du Conseil fédéral suisse: Le président de la Confédération, Adolf Ogi La chancelière de la Confédération, Annemarie Huber-Hotz</w:t>
      </w:r>
    </w:p>
    <w:p>
      <w:r>
        <w:t>3027 Avis 1 Point de la situation La Commission propose de compléter l’appendice de l’Arrêté fédéral sur le réseau des routes nationales (RS 725.113.11) en admettant comme route de 2e/3e classe la route du Prättigau reliant Landquart à Klosters/gare de chargement dutunnel de la Vereina. Le réseau des routes nationales a été défini par l' arrêté fédéral du 21 juin 1960 et complété trois fois depuis lors: le 25 juin 1965 par le tunnel routier du Saint Go- thard (A 2), le 23 juin 1971 par le contournement nord et ouest de Zurich (N 1c) et le 5 octobre 1984 par la Transjurane reliant Boncourt à Bienne (N 16). D’autre part, le tronçon de la N 6 (tunnel du Rawyl) allant de Wimmis à Uvrier a été biffé du pro- gramme de construction du réseau des routes nationales le 19 décembre 1986. L’aménagement de certains tronçons sur le réseau existant ne doit pas être confondu avec les extensions (ou suppressions). Par aménagement, on entend la construction de voies de circulation supplémentaires comme c’est le cas au Grauholz (mises en service en 1997), la construction en cours du nouveau tunnel au Baregg ou l’aménagement envisagé des pistes entre Härkingen et Wiggertal. Le réseau des routes nationales est aujourd’hui long de 1856 km, dont 1638 km sont en service et quelque 100 km en construction. Les coûts d’investissement ont atteint jusqu’à présent 44,872 milliards de francs. Après le 6e programme de construction à long terme, le réseau sera probablement achevé en 2015. La réalisation des tronçons manquants occasionnera encore des frais approximatifs de l’ordre de 20 milliards de francs. 2 La politique du Conseil fédéral en matière de construction des routes nationales La construction des routes nationales s’inscrit depuis longtemps déjà dans la politi- que globale des transports du Conseil fédéral. Mis à part les objectifs premiers, la construction des routes nationales est déterminée par la protection de l’environnement, la sécurité de la circulation et la situation financière de la Confédé- ration. Pour tenir compte de tous ces aspects, le Conseil fédéral a posé des jalons en 1987 dans le cadre de sa stratégie de lutte contre la pollution atmosphérique. Ce fai- sant, il a décidé de renoncer à élargir les tronçons existants qui sont en concurrence directe avec le développement des capacités ferroviaires et par conséquent de ne plus soumettre de telles propositions au Parlement jusqu’à la réalisation de Rail 2000. Sont réservées des voies supplémentaires sur certains tronçons courts, dans la mesure où ils s’avèrent indispensables pour assurer la capacité d’utilisation de la route et la sécurité du trafic. Eu égard à la situation financière critique de la Confédération et soucieux d’utiliser de manière optimale les moyens disponibles, le Conseil fédéral a en outre fixé l’ordre des priorités suivant: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