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2982 2004-1247 vom 29. Juni 2004</w:t>
      </w:r>
    </w:p>
    <w:p>
      <w:r>
        <w:t>Bundesverwaltung, 2004-06-29, DE</w:t>
      </w:r>
    </w:p>
    <w:p>
      <w:r>
        <w:rPr>
          <w:b/>
        </w:rPr>
        <w:t xml:space="preserve">Quelle: </w:t>
      </w:r>
      <w:r>
        <w:t>https://mcp.opencaselaw.ch/entscheid/ch_vb_2982_2004-1247_</w:t>
      </w:r>
    </w:p>
    <w:p>
      <w:r>
        <w:t>FR: CH_VB 2982 2004-1247 du 29 juin 2004</w:t>
      </w:r>
    </w:p>
    <w:p>
      <w:r>
        <w:t>IT: CH_VB 2982 2004-1247 del 29 giugno 2004</w:t>
      </w:r>
    </w:p>
    <w:p>
      <w:pPr>
        <w:pStyle w:val="Heading2"/>
      </w:pPr>
      <w:r>
        <w:t>Volltext</w:t>
      </w:r>
    </w:p>
    <w:p>
      <w:r>
        <w:t>2982 2004-1247 Publications des départements et des offices de la Confédération</w:t>
      </w:r>
    </w:p>
    <w:p>
      <w:r>
        <w:t>Procédure de consultation Département fédéral des finances Loi fédérale régissant la taxe sur la valeur ajoutée (décompte annuel) L’Administration fédérale des contributions (AFC) a analysé de façon approfondie les possibilités d’introduire le décompte annuel de la TVA. Elle a élaboré trois modèles qui se distinguent principalement par le nombre de contribuables qui pour- raient présenter des décomptes annuels et par l’obligation (ou l’absence d’obliga- tion) de verser des acomptes. Date limite: 30 septembre 2004 Les documents relatifs à la procédure de consultation peuvent être obtenus auprès de: Administration fédérale des contributions, Division principale taxe sur la valeur ajoutée, Schwarztorstrasse 50, 3003 Berne, fax 031 325 71 38 www.estv.admin.ch/data/mwst/d/vernehm/pdf/vl_mai_04.pdf 29 juin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25 Cahier Numero Geschäftsnummer --- Numéro d'affaire Numero dell'oggetto Datum 29.06.2004 Date Data Seite 2982-2982 Page Pagina Ref. No 10 137 742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