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2932 2002-0777 vom 11. Februar 2002</w:t>
      </w:r>
    </w:p>
    <w:p>
      <w:r>
        <w:t>Bundesverwaltung, 2002-02-11, DE</w:t>
      </w:r>
    </w:p>
    <w:p>
      <w:r>
        <w:rPr>
          <w:b/>
        </w:rPr>
        <w:t xml:space="preserve">Quelle: </w:t>
      </w:r>
      <w:r>
        <w:t>https://mcp.opencaselaw.ch/entscheid/ch_vb_2932_2002-0777</w:t>
      </w:r>
    </w:p>
    <w:p>
      <w:r>
        <w:t>FR: CH_VB 2932 2002-0777 du 11 février 2002</w:t>
      </w:r>
    </w:p>
    <w:p>
      <w:r>
        <w:t>IT: CH_VB 2932 2002-0777 del 11 febbraio 2002</w:t>
      </w:r>
    </w:p>
    <w:p>
      <w:pPr>
        <w:pStyle w:val="Heading2"/>
      </w:pPr>
      <w:r>
        <w:t>Volltext</w:t>
      </w:r>
    </w:p>
    <w:p>
      <w:r>
        <w:t>2932 2002-0777 Demandes d’octroi de permis concernant la durée du travail Travail de nuit (art. 17 LTr) – Pavatex SA, 1701 Fribourg unités d’usinage et de finition PAVATEX 30 ho ou f 11 février 2002 au 12 février 2005 (renouvellement/modification) Travail continu (art. 24 LTr) – Pavatex SA, 1701 Fribourg ligne de production (fabrication) de panneaux bruts (Pavatex et Pavaroc) 16 ho 10 février 2002 au 12 février 2005 (renouvellement/modification) – Ilford Imaging Switzerland GmbH, 1723 Marly tunnel de fabrication no 4 à Marly FR; fabrication de films et papiers photo- sensibles: préparation coulage des émulsions, séchage et bobinage 60 ho 31 mars 2002 au 2 avril 2005 (modification) – HSBC Republic Bank (Suisse) S.A., 1211 Genève 3 center informatique au 56, rue Moillebeau 6 ho ou f 13 janvier 2002 au 15 janvier 2005 (renouvellement/modification) – Alcatel e-Business Distribution AG, 8302 Kloten Team outsourcing – Monitoring &amp; Helpdesk chez Nestec, Vevey/Bussigny par la succursale de Genève 7 ho ou f 28 avril 2002 au 3 mai 2003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16 avril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15 Cahier Numero Geschäftsnummer --- Numéro d'affaire Numero dell'oggetto Datum 16.04.2002 Date Data Seite 2932-2932 Page Pagina Ref. No 10 126 237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