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2860 2003-0530 vom 11. April 2003</w:t>
      </w:r>
    </w:p>
    <w:p>
      <w:r>
        <w:t>Bundesverwaltung, 2003-04-11, DE</w:t>
      </w:r>
    </w:p>
    <w:p>
      <w:r>
        <w:rPr>
          <w:b/>
        </w:rPr>
        <w:t xml:space="preserve">Quelle: </w:t>
      </w:r>
      <w:r>
        <w:t>https://mcp.opencaselaw.ch/entscheid/ch_vb_2860_2003-0530</w:t>
      </w:r>
    </w:p>
    <w:p>
      <w:r>
        <w:t>FR: CH_VB 2860 2003-0530 du 11 avril 2003</w:t>
      </w:r>
    </w:p>
    <w:p>
      <w:r>
        <w:t>IT: CH_VB 2860 2003-0530 del 11 aprile 2003</w:t>
      </w:r>
    </w:p>
    <w:p>
      <w:pPr>
        <w:pStyle w:val="Heading2"/>
      </w:pPr>
      <w:r>
        <w:t>Erwägungen</w:t>
      </w:r>
    </w:p>
    <w:p>
      <w:r>
        <w:rPr>
          <w:b/>
        </w:rPr>
        <w:t>E. 1</w:t>
      </w:r>
    </w:p>
    <w:p>
      <w:r>
        <w:t>CF. Arrêté du Conseil fédéral du 2 mai 2002 étendant le champ d’application de la convention collective de travail pour les tuileries-briqueteries suisses; FF 2002 3450.</w:t>
      </w:r>
    </w:p>
    <w:p>
      <w:r>
        <w:rPr>
          <w:b/>
        </w:rPr>
        <w:t>E. 2</w:t>
      </w:r>
    </w:p>
    <w:p>
      <w:r>
        <w:t>Des tirés à part de l’extension peuvent être obtenus auprès de l’OFCL, Diffusion publications, 3003 Berne.</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pour les tuileries-briqueteries suisses In Bundesblatt Dans Feuille fédérale In Foglio federale Jahr 2003 Année Anno Band 1 Volume Volume Heft 16 Cahier Numero Geschäftsnummer --- Numéro d'affaire Numero dell'oggetto Datum 29.04.2003 Date Data Seite 2860-2860 Page Pagina Ref. No 10 127 221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