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2574 2008-1063 vom 29. April 2008</w:t>
      </w:r>
    </w:p>
    <w:p>
      <w:r>
        <w:t>Bundesverwaltung, 2008-04-29, DE</w:t>
      </w:r>
    </w:p>
    <w:p>
      <w:r>
        <w:rPr>
          <w:b/>
        </w:rPr>
        <w:t xml:space="preserve">Quelle: </w:t>
      </w:r>
      <w:r>
        <w:t>https://mcp.opencaselaw.ch/entscheid/ch_vb_2574_2008-1063_</w:t>
      </w:r>
    </w:p>
    <w:p>
      <w:r>
        <w:t>FR: CH_VB 2574 2008-1063 du 29 avril 2008</w:t>
      </w:r>
    </w:p>
    <w:p>
      <w:r>
        <w:t>IT: CH_VB 2574 2008-1063 del 29 aprile 2008</w:t>
      </w:r>
    </w:p>
    <w:p>
      <w:pPr>
        <w:pStyle w:val="Heading2"/>
      </w:pPr>
      <w:r>
        <w:t>Volltext</w:t>
      </w:r>
    </w:p>
    <w:p>
      <w:r>
        <w:t>2574 2008-1063 Exécution de la loi fédérale du 15 décembre 1961 concernant la protection des noms et emblèmes de l’Organisation des Nations Unies et d’autres organisations intergouvernementales A partir du 29 avril 2008, le nom, le sigle (abréviation) et les emblèmes du «Nordic Patent Institute», qui figurent ci-après, sont protégés conformément à la loi sus- mentionnée (RS 232.23): a. le nom</w:t>
      </w:r>
    </w:p>
    <w:p>
      <w:r>
        <w:t>en anglais: Nordic Patent Institute b. le sigle (abréviation)</w:t>
      </w:r>
    </w:p>
    <w:p>
      <w:r>
        <w:t>en anglais: NPI c. les emblèmes</w:t>
      </w:r>
    </w:p>
    <w:p>
      <w:r>
        <w:t>Couleurs revendiquées: Pantone 5405 / Pantone 5425 / Pantone process sort / Pantone cool grey 10 29 avril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2008 Année Anno Band 1 Volume Volume Heft 17 Cahier Numero Geschäftsnummer --- Numéro d'affaire Numero dell'oggetto Datum 29.04.2008 Date Data Seite 2574-2574 Page Pagina Ref. No 10 141 687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