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2518 2005-0800 vom 12. April 2005</w:t>
      </w:r>
    </w:p>
    <w:p>
      <w:r>
        <w:t>Bundesverwaltung, 2005-04-12, DE</w:t>
      </w:r>
    </w:p>
    <w:p>
      <w:r>
        <w:rPr>
          <w:b/>
        </w:rPr>
        <w:t xml:space="preserve">Quelle: </w:t>
      </w:r>
      <w:r>
        <w:t>https://mcp.opencaselaw.ch/entscheid/ch_vb_2518_2005-0800_</w:t>
      </w:r>
    </w:p>
    <w:p>
      <w:r>
        <w:t>FR: CH_VB 2518 2005-0800 du 12 avril 2005</w:t>
      </w:r>
    </w:p>
    <w:p>
      <w:r>
        <w:t>IT: CH_VB 2518 2005-0800 del 12 aprile 2005</w:t>
      </w:r>
    </w:p>
    <w:p>
      <w:pPr>
        <w:pStyle w:val="Heading2"/>
      </w:pPr>
      <w:r>
        <w:t>Volltext</w:t>
      </w:r>
    </w:p>
    <w:p>
      <w:r>
        <w:t>2518 2005-0800 Exécution de la loi fédérale sur la formation professionnelle L’Association suisse des services funéraires (ASSF) a déposé un projet de règlement concernant l’examen professionnel de entrepreneur/entrepreneuse de pompes funè- bres,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12 avril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14 Cahier Numero Geschäftsnummer --- Numéro d'affaire Numero dell'oggetto Datum 12.04.2005 Date Data Seite 2518-2518 Page Pagina Ref. No 10 138 548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