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2007-2637 vom 18. Mai 2005</w:t>
      </w:r>
    </w:p>
    <w:p>
      <w:r>
        <w:t>Bundesverwaltung, 2005-05-18, DE</w:t>
      </w:r>
    </w:p>
    <w:p>
      <w:r>
        <w:rPr>
          <w:b/>
        </w:rPr>
        <w:t xml:space="preserve">Quelle: </w:t>
      </w:r>
      <w:r>
        <w:t>https://mcp.opencaselaw.ch/entscheid/ch_vb_24_2007-2637_</w:t>
      </w:r>
    </w:p>
    <w:p>
      <w:r>
        <w:t>FR: CH_VB 24 2007-2637 du 18 mai 2005</w:t>
      </w:r>
    </w:p>
    <w:p>
      <w:r>
        <w:t>IT: CH_VB 24 2007-2637 del 18 maggio 2005</w:t>
      </w:r>
    </w:p>
    <w:p>
      <w:pPr>
        <w:pStyle w:val="Heading2"/>
      </w:pPr>
      <w:r>
        <w:t>Erwägungen</w:t>
      </w:r>
    </w:p>
    <w:p>
      <w:r>
        <w:rPr>
          <w:b/>
        </w:rPr>
        <w:t>E. 1</w:t>
      </w:r>
    </w:p>
    <w:p>
      <w:r>
        <w:t>Caractéristiques du produit (pour tous les produits mentionnés) Substance(s) active(s): trifluraline 480 g/l Formulation: EC concentré émulsifiable</w:t>
      </w:r>
    </w:p>
    <w:p>
      <w:r>
        <w:rPr>
          <w:b/>
        </w:rPr>
        <w:t>E. 2</w:t>
      </w:r>
    </w:p>
    <w:p>
      <w:r>
        <w:t>Produits commerciaux Credence Numéro d’homologation suisse: F-4067 Pays d’origine: France numéro d’homologation étranger: 9800197 titulaire de l’autorisation étranger: Invivo Euroflu Numéro d’homologation suisse: F-4068 Pays d’origine: France numéro d’homologation étranger: 8800884 titulaire de l’autorisation étranger: Novamex Flurasan 480 Numéro d’homologation suisse: F-4070 Pays d’origine: France numéro d’homologation étranger: 2000095 titulaire de l’autorisation étranger: Jouffray Sarcline Numéro d’homologation suisse: F-4072 Pays d’origine: France numéro d’homologation étranger: 860075 titulaire de l’autorisation étranger: Chimac-Agriphar S.A. Treflan EC Numéro d’homologation suisse: F-4073 Pays d’origine: France numéro d’homologation étranger: 6500419 titulaire de l’autorisation étranger: Dow Agrosciences S.A.S</w:t>
      </w:r>
    </w:p>
    <w:p>
      <w:r>
        <w:t>1 RS 916.161</w:t>
      </w:r>
    </w:p>
    <w:p>
      <w:r>
        <w:t>7425 Trinoxol Numéro d’homologation suisse: F-4074 Pays d’origine: France numéro d’homologation étranger: 9800170 titulaire de l’autorisation étranger: CFPI Applications autorisées: Domaine d’application Organisme nuisible/effets Application (*) Culture maraîchère</w:t>
      </w:r>
    </w:p>
    <w:p>
      <w:r>
        <w:t>choux [planté] dicotylédones annuelles, monocotylédones annuelles Dosage: 2.5–3.5 l/ha</w:t>
      </w:r>
    </w:p>
    <w:p>
      <w:r>
        <w:t>Grande culture</w:t>
      </w:r>
    </w:p>
    <w:p>
      <w:r>
        <w:t>blé d’automne, épeautre, orge d’automne, seigle d’automne dicotylédones annuelles, monocotylédones annuelles [y compris apéra jouet-du-vent (Apera), vulpin des champs] Dosage: 2.5 l/ha Application: pré-levée. 1 Carthame dicotylédones annuelles, monocotylédones annuelles Dosage: 2–3 l/ha Application: incorporer avant le semis. 1 colza dicotylédones annuelles, monocotylédones annuelles [y compris apéra jouet-du-vent (Apera)] Dosage: 2.5 l/ha Application: avant le semis ou avant la levée. 2, 3 colza dicotylédones annuelles, monocotylédones annuelles [y compris apéra jouet-du-vent (Apera)] Dosage: 3 l/ha Application: avant le semis ou avant la levée.</w:t>
      </w:r>
    </w:p>
    <w:p>
      <w:r>
        <w:rPr>
          <w:b/>
        </w:rPr>
        <w:t>E. 4</w:t>
      </w:r>
    </w:p>
    <w:p>
      <w:r>
        <w:t>= Sol lourd, humifère.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7426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7424-7426 Page Pagina Ref. No 10 141 129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