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220 2004-0138 vom 3. Februar 2004</w:t>
      </w:r>
    </w:p>
    <w:p>
      <w:r>
        <w:t>Bundesverwaltung, 2004-02-03, DE</w:t>
      </w:r>
    </w:p>
    <w:p>
      <w:r>
        <w:rPr>
          <w:b/>
        </w:rPr>
        <w:t xml:space="preserve">Quelle: </w:t>
      </w:r>
      <w:r>
        <w:t>https://mcp.opencaselaw.ch/entscheid/ch_vb_220_2004-0138_</w:t>
      </w:r>
    </w:p>
    <w:p>
      <w:r>
        <w:t>FR: CH_VB 220 2004-0138 du 3 février 2004</w:t>
      </w:r>
    </w:p>
    <w:p>
      <w:r>
        <w:t>IT: CH_VB 220 2004-0138 del 3 febbraio 2004</w:t>
      </w:r>
    </w:p>
    <w:p>
      <w:pPr>
        <w:pStyle w:val="Heading2"/>
      </w:pPr>
      <w:r>
        <w:t>Volltext</w:t>
      </w:r>
    </w:p>
    <w:p>
      <w:r>
        <w:t>220 2004-0138 Demandes d’octroi de permis concernant la durée du travail</w:t>
      </w:r>
    </w:p>
    <w:p>
      <w:r>
        <w:t>Permis de travail de nuit (sans alternance) (Art. 17 Ltr) – 03-3763 / 101596 Filature de laines peignées d’Ajoie SA, 2942 Alle atelier de filature horaire d’exploitation indispensable pour des raisons économiques 37 A 08.02.2004–12.02.2005 (Renouvellement/modification) Dérogation basée sur l’art. 28 LTr Permis de travail de nuit et du dimanche (Art. 17 et 19 LTr) – 04-3867 / 109494 Consortium TCG, 2882 St-Ursanne Assainissement des tunnels Glovelier et de la Croix horaire d’exploitation indispensable pour des raisons économiques 45 A 12.01.2004–31.12.2004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3 février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04 Cahier Numero Geschäftsnummer --- Numéro d'affaire Numero dell'oggetto Datum 03.02.2004 Date Data Seite 220-220 Page Pagina Ref. No 10 137 341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