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2088 2004-0887 vom 3. Mai 2004</w:t>
      </w:r>
    </w:p>
    <w:p>
      <w:r>
        <w:t>Bundesverwaltung, 2004-05-03, DE</w:t>
      </w:r>
    </w:p>
    <w:p>
      <w:r>
        <w:rPr>
          <w:b/>
        </w:rPr>
        <w:t xml:space="preserve">Quelle: </w:t>
      </w:r>
      <w:r>
        <w:t>https://mcp.opencaselaw.ch/entscheid/ch_vb_2088_2004-0887_</w:t>
      </w:r>
    </w:p>
    <w:p>
      <w:r>
        <w:t>FR: CH_VB 2088 2004-0887 du 3 mai 2004</w:t>
      </w:r>
    </w:p>
    <w:p>
      <w:r>
        <w:t>IT: CH_VB 2088 2004-0887 del 3 maggio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6646 contre la marque internationale n° 801 853 «BONVITAlity» (fig.) est rejetée.</w:t>
      </w:r>
    </w:p>
    <w:p>
      <w:r>
        <w:rPr>
          <w:b/>
        </w:rPr>
        <w:t>E. 3</w:t>
      </w:r>
    </w:p>
    <w:p>
      <w:r>
        <w:t>La taxe de 800 francs reste acquise à l’Institut.</w:t>
      </w:r>
    </w:p>
    <w:p>
      <w:r>
        <w:rPr>
          <w:b/>
        </w:rPr>
        <w:t>E. 4</w:t>
      </w:r>
    </w:p>
    <w:p>
      <w:r>
        <w:t>Aucun dépens ne sont alloués aux parties.</w:t>
      </w:r>
    </w:p>
    <w:p>
      <w:r>
        <w:rPr>
          <w:b/>
        </w:rPr>
        <w:t>E. 5</w:t>
      </w:r>
    </w:p>
    <w:p>
      <w:r>
        <w:t>La marque internationale n° 801 853 «BONVITAlity» (fig.) sera admise à la protection en Suisse quand la présente décision sera entrée en vigueur.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3 mai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6646 In Bundesblatt Dans Feuille fédérale In Foglio federale Jahr 2004 Année Anno Band 1 Volume Volume Heft 18 Cahier Numero Geschäftsnummer --- Numéro d'affaire Numero dell'oggetto Datum 11.05.2004 Date Data Seite 2088-2088 Page Pagina Ref. No</w:t>
      </w:r>
    </w:p>
    <w:p>
      <w:r>
        <w:rPr>
          <w:b/>
        </w:rPr>
        <w:t>E. 10</w:t>
      </w:r>
    </w:p>
    <w:p>
      <w:r>
        <w:t>137 610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