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2046 2001-2479 vom 19. März 2002</w:t>
      </w:r>
    </w:p>
    <w:p>
      <w:r>
        <w:t>Bundesverwaltung, 2002-03-19, DE</w:t>
      </w:r>
    </w:p>
    <w:p>
      <w:r>
        <w:rPr>
          <w:b/>
        </w:rPr>
        <w:t xml:space="preserve">Quelle: </w:t>
      </w:r>
      <w:r>
        <w:t>https://mcp.opencaselaw.ch/entscheid/ch_vb_2046_2001-2479</w:t>
      </w:r>
    </w:p>
    <w:p>
      <w:r>
        <w:t>FR: CH_VB 2046 2001-2479 du 19 mars 2002</w:t>
      </w:r>
    </w:p>
    <w:p>
      <w:r>
        <w:t>IT: CH_VB 2046 2001-2479 del 19 marzo 2002</w:t>
      </w:r>
    </w:p>
    <w:p>
      <w:pPr>
        <w:pStyle w:val="Heading2"/>
      </w:pPr>
      <w:r>
        <w:t>Volltext</w:t>
      </w:r>
    </w:p>
    <w:p>
      <w:r>
        <w:t>2046 2001-2479 C Ordonnance de l’Assemblée fédérale Projet concernant les traitements et la prévoyance professionnelle des magistrats Modification du L’Assemblée fédérale de la Confédération suisse, vu le message du Conseil fédéral du 19 décembre 20011, arrête: I L’ordonnance de l’Assemblée fédérale du … concernant les traitements et la prévoyance professionnelle des magistrats2 est modifiée comme suit: Art. 1a, let. a Le traitement annuel des autres magistrats s’élève: a. à 81,6 % du traitement d’un membre du Conseil fédéral pour les ministres délégués et le chancelier de la Confédération; II Le Conseil fédéral fixe la date de l’entrée en vigueur.</w:t>
      </w:r>
    </w:p>
    <w:p>
      <w:r>
        <w:t>1 FF 2002 1979 2 RS 172.121.1 Teneur selon message du Conseil fédéral du 15 juin 2001; FF 2001 3695</w:t>
      </w:r>
    </w:p>
    <w:p>
      <w:r>
        <w:t>Schweizerisches Bundesarchiv, Digitale Amtsdruckschriften Archives fédérales suisses, Publications officielles numérisées Archivio federale svizzero, Pubblicazioni ufficiali digitali Ordonnance de l'Assemblée fédérale concernant les traitements et la prévoyance professionnelle des magistrats In Bundesblatt Dans Feuille fédérale In Foglio federale Jahr 2002 Année Anno Band 1 Volume Volume Heft 11 Cahier Numero Geschäftsnummer --- Numéro d'affaire Numero dell'oggetto Datum 19.03.2002 Date Data Seite 2046-2046 Page Pagina Ref. No 10 126 137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