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2020 2003-0257 vom 12. Februar 2003</w:t>
      </w:r>
    </w:p>
    <w:p>
      <w:r>
        <w:t>Bundesverwaltung, 2003-02-12, DE</w:t>
      </w:r>
    </w:p>
    <w:p>
      <w:r>
        <w:rPr>
          <w:b/>
        </w:rPr>
        <w:t xml:space="preserve">Quelle: </w:t>
      </w:r>
      <w:r>
        <w:t>https://mcp.opencaselaw.ch/entscheid/ch_vb_2020_2003-0257</w:t>
      </w:r>
    </w:p>
    <w:p>
      <w:r>
        <w:t>FR: CH_VB 2020 2003-0257 du 12 février 2003</w:t>
      </w:r>
    </w:p>
    <w:p>
      <w:r>
        <w:t>IT: CH_VB 2020 2003-0257 del 12 febbraio 2003</w:t>
      </w:r>
    </w:p>
    <w:p>
      <w:pPr>
        <w:pStyle w:val="Heading2"/>
      </w:pPr>
      <w:r>
        <w:t>Volltext</w:t>
      </w:r>
    </w:p>
    <w:p>
      <w:r>
        <w:t>2020 2003-0257 ad 00.456 Initiative parlementaire (Dupraz John) Loi sur le matériel de guerre. Mines antipersonnel Rapport du 1er novembre 2002 de la Commission de politique de sécurité du Conseil national Avis du Conseil fédéral du 12 février 2003 Monsieur le Président, Mesdames et Messieurs Vu l’art. 21quater, al. 4, de la loi sur les rapports entre les conseils (LREC), nous vous soumettons notre avis sur le rapport du 1er novembre 2002 de la Commission de politique de sécurité du Conseil national relatif aux mines antipersonnel. Celui-ci requiert une modification de l’art. 8 de la loi sur la matériel de guerre (LFMG). Il s’agit d’une part d’adapter la teneur de l’al. 2 et d’autre part d’ajouter un 4e alinéa. Nous vous prions d’agréer, Monsieur le Président, Mesdames et Messieurs, l’assu- rance de notre haute considération. 12 février 2003 Au nom du Conseil fédéral suisse: Le président de la Confédération, Pascal Couchepin La chancelière de la Confédération, Annemarie Huber-Hotz</w:t>
      </w:r>
    </w:p>
    <w:p>
      <w:r>
        <w:t>2021 Avis 1 Le point de la situation Le 4 décembre 2002, le conseiller national John Dupraz déposait une initiative parlementaire demandant que les deux articles (art. 2, ch. 3, et art. 3, ch. 1) de la Convention d’Ottawa du 18 septembre 1997 traitant de l’interdiction des mines antipersonnel soient repris intégralement dans notre législation nationale. Il s’agissait de modifier l’al. 2 de l’art. 8 de la loi sur la matériel de guerre1 (LFMG), mais également d’ajouter un quatrième alinéa à ce même article. En date du 19 septembre 2001, le Conseil national a donné suite à l’initiative parle- mentaire Dupraz en l’approuvant par 106 voix contre 40. Le 1er novembre 2002, la Commission de politique de sécurité a transmis au Conseil national un rapport proposant d’approuver le projet de modification de la LFMG. Simultanément, la commission invitait le Conseil fédéral à se prononcer. 2 Avis du Conseil fédéral Le Conseil fédéral approuve les motifs invoqués par l’auteur de l’initiative en parti- culier l’exigence d’utiliser, également dans la LFMG, la définition intégrale et internationalement reconnue des termes «mines antipersonnel» et «dispositifs anti- manipulation». Il constate également que la terminologie employée dans l’actuelle LFMG n’est pas exactement identique à celle de la convention d’Ottawa, mais fait toutefois remar- quer que ceci n’est au fond pas vraiment une nécessité dans la mesure où la hiérar- chie introduite par le système juridique du monisme (le droit international prime le droit national) s’applique de fait. Par ailleurs, le Conseil fédéral constate que si les modifications de l’art. 8 de la LFMG proposées par l’initiative parlementaire Dupraz n’apportent aucune modifi- cation quant au fond, elles contribuent à donner un image irréprochable de la légis- lation suisse aux personnes qui seraient peu ou pas familières de notre systéme législatif. De plus, pour conserver son rôle moteur dans le processus d’application de la Convention d’Ottawa, la Suisse doit se présenter comme un partenaire fiable. Le Conseil fédéral souligne enfin que la modification proposée doit faire figure d’exception. En effet, une tendance consistant à reprendre dans la législation suisse des dispositions de traités internationaux ratifiés par la Suisse serait en contradiction avec notre pratique législative. Dans cette optique, le Conseil fédéral se rallie à la modification proposée de la LFMG.</w:t>
      </w:r>
    </w:p>
    <w:p>
      <w:r>
        <w:t>1 RS 514.51</w:t>
      </w:r>
    </w:p>
    <w:p>
      <w:r>
        <w:t>2022 3 Conséquences, mise en œuvre, rapport avec le droit européen, légalité et constitutionalité S’agissant de la présentation des conséquences pour les finances et le personnel, de la possibilité de mise en œuvre, du rapport avec le droit européen ou encore de la légalité ou de la constitutionalité des modifications proposées, le Conseil fédéral se rallie pleinement aux considérants contenus dans le rapport de la commission.</w:t>
      </w:r>
    </w:p>
    <w:p>
      <w:r>
        <w:t>Schweizerisches Bundesarchiv, Digitale Amtsdruckschriften Archives fédérales suisses, Publications officielles numérisées Archivio federale svizzero, Pubblicazioni ufficiali digitali Initiative parlementaire (Dupraz John). Loi sur le matériel de guerre. Mines antipersonnel. Rapport du 1er novembre 2002 de la Commission de politique de sécurité du Conseil national. Avis du Conseil fédéral In Bundesblatt Dans Feuille fédérale In Foglio federale Jahr 2003 Année Anno Band 1 Volume Volume Heft 10 Cahier Numero Geschäftsnummer 00.456 Numéro d'affaire Numero dell'oggetto Datum 18.03.2003 Date Data Seite 2020-2022 Page Pagina Ref. No 10 127 099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