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2008-2660 7853 vom 4. November 2008</w:t>
      </w:r>
    </w:p>
    <w:p>
      <w:r>
        <w:t>Bundesverwaltung, 2008-11-04, DE</w:t>
      </w:r>
    </w:p>
    <w:p>
      <w:r>
        <w:rPr>
          <w:b/>
        </w:rPr>
        <w:t xml:space="preserve">Quelle: </w:t>
      </w:r>
      <w:r>
        <w:t>https://mcp.opencaselaw.ch/entscheid/ch_vb_2008-2660_7853_</w:t>
      </w:r>
    </w:p>
    <w:p>
      <w:r>
        <w:t>FR: CH_VB 2008-2660 7853 du 4 novembre 2008</w:t>
      </w:r>
    </w:p>
    <w:p>
      <w:r>
        <w:t>IT: CH_VB 2008-2660 7853 del 4 novembre 2008</w:t>
      </w:r>
    </w:p>
    <w:p>
      <w:pPr>
        <w:pStyle w:val="Heading2"/>
      </w:pPr>
      <w:r>
        <w:t>Volltext</w:t>
      </w:r>
    </w:p>
    <w:p>
      <w:r>
        <w:t>2008-2660 7853 Exécution de la loi fédérale sur la formation professionnelle SWISS MARKETING (SMC), Vente Suisse et SEC Suisse ont déposé un projet de règlement concernant l’examen professionnel de spécialiste en vente avec brevet fédéral, spécialisation en service interne/spécialiste en vente avec brevet fédéral, spécialisation en service externe conformément à l’art. 28, al. 2, de la loi fédérale du 13 décembre 2002 sur la formation professionnelle (RS 412.10) et à l’art. 25 et 26 de son ordonnance d’exécution du 19 novembre 2003 (RS 412.101). Fédération suisse de physiothérapie pour animaux – FSPA a déposé une projet de règlement concernant l’examen professionnel supérieur de physiothérapeute pour animaux avec diplôme fédéral,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4 novembre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44 Cahier Numero Geschäftsnummer --- Numéro d'affaire Numero dell'oggetto Datum 04.11.2008 Date Data Seite 7853-7853 Page Pagina Ref. No 10 142 238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