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2008-1617 5277 vom 28. Mai 2008</w:t>
      </w:r>
    </w:p>
    <w:p>
      <w:r>
        <w:t>Bundesverwaltung, 2008-05-28, DE</w:t>
      </w:r>
    </w:p>
    <w:p>
      <w:r>
        <w:rPr>
          <w:b/>
        </w:rPr>
        <w:t xml:space="preserve">Quelle: </w:t>
      </w:r>
      <w:r>
        <w:t>https://mcp.opencaselaw.ch/entscheid/ch_vb_2008-1617_5277_</w:t>
      </w:r>
    </w:p>
    <w:p>
      <w:r>
        <w:t>FR: CH_VB 2008-1617 5277 du 28 mai 2008</w:t>
      </w:r>
    </w:p>
    <w:p>
      <w:r>
        <w:t>IT: CH_VB 2008-1617 5277 del 28 maggio 2008</w:t>
      </w:r>
    </w:p>
    <w:p>
      <w:pPr>
        <w:pStyle w:val="Heading2"/>
      </w:pPr>
      <w:r>
        <w:t>Volltext</w:t>
      </w:r>
    </w:p>
    <w:p>
      <w:r>
        <w:t>2008-1617 5277 Arrêté fédéral concernant le supplément I au budget 2008 du 28 mai 2008</w:t>
      </w:r>
    </w:p>
    <w:p>
      <w:r>
        <w:t>L’Assemblée fédérale de la Confédération suisse, vu les art. 126 et 167 de la Constitution1, vu le message du Conseil fédéral du 2 avril 20082, arrête: Art. 1 Crédits supplémentaires Les crédits budgétaires ci-après sont ouverts au titre du premier supplément au budget 2008 de la Confédération suisse, selon liste spéciale:</w:t>
      </w:r>
    </w:p>
    <w:p>
      <w:r>
        <w:t>francs</w:t>
      </w:r>
    </w:p>
    <w:p>
      <w:r>
        <w:t>a. compte de résultats: charges de 181 956 600;</w:t>
      </w:r>
    </w:p>
    <w:p>
      <w:r>
        <w:t>b. domaine des investissements: dépenses de 43 150 000. Art. 2 Dépenses Des dépenses supplémentaires de 225 106 600 francs sont autorisées dans le cadre du compte de financement pour 2008. Art. 3 Crédits d’engagement soumis au frein aux dépenses Les crédits d’engagements suivants sont autorisés:</w:t>
      </w:r>
    </w:p>
    <w:p>
      <w:r>
        <w:t>francs</w:t>
      </w:r>
    </w:p>
    <w:p>
      <w:r>
        <w:t>a. Participation aux programmes de l’ESA 2008 à 2015 250 000 000;</w:t>
      </w:r>
    </w:p>
    <w:p>
      <w:r>
        <w:t>b. Travaux de remise en état et acquisition de pièces de rechange 60 000 000;</w:t>
      </w:r>
    </w:p>
    <w:p>
      <w:r>
        <w:t>c. Stratégie européenne pour la physique des particules (CERN) 27 600 000;</w:t>
      </w:r>
    </w:p>
    <w:p>
      <w:r>
        <w:t>d. Installations d’évacuation des eaux usées et des déchets 22 000 000;</w:t>
      </w:r>
    </w:p>
    <w:p>
      <w:r>
        <w:t>e. Crédit annuel d’engagement pour les améliorations structu- relles dans l’agriculture 7 000 000.</w:t>
      </w:r>
    </w:p>
    <w:p>
      <w:r>
        <w:t>1 RS 101 2 Non publié dans la FF</w:t>
      </w:r>
    </w:p>
    <w:p>
      <w:r>
        <w:t>Supplément I au budget 2008. AF</w:t>
      </w:r>
    </w:p>
    <w:p>
      <w:r>
        <w:t>5278 Art. 4 Crédits d’engagement non soumis au frein aux dépenses Les crédits d’engagements suivants sont autorisés:</w:t>
      </w:r>
    </w:p>
    <w:p>
      <w:r>
        <w:t>francs</w:t>
      </w:r>
    </w:p>
    <w:p>
      <w:r>
        <w:t>a. OMC: location de bureaux 15 000 000;</w:t>
      </w:r>
    </w:p>
    <w:p>
      <w:r>
        <w:t>b. OMC: rénovation du Centre William Rappard 7 000 000;</w:t>
      </w:r>
    </w:p>
    <w:p>
      <w:r>
        <w:t>c. Equipement de la salle de conférence 301 dans le bâtiment du Parlement 3 500 000;</w:t>
      </w:r>
    </w:p>
    <w:p>
      <w:r>
        <w:t>d. Nouvelle construction du bâtiment de l’OMC 500 000. Art. 5 Disposition finale Le présent arrêté n’est pas sujet au référendum. Conseil national, 26 mai 2008 Conseil des Etats, 28 mai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concernant le supplément I au budget 2008 In Bundesblatt Dans Feuille fédérale In Foglio federale Jahr 2008 Année Anno Band 1 Volume Volume Heft 26 Cahier Numero Geschäftsnummer --- Numéro d'affaire Numero dell'oggetto Datum 01.07.2008 Date Data Seite 5277-5278 Page Pagina Ref. No 10 141 927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