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2008-1117 2821 vom 16. April 2008</w:t>
      </w:r>
    </w:p>
    <w:p>
      <w:r>
        <w:t>Bundesverwaltung, 2008-04-16, DE</w:t>
      </w:r>
    </w:p>
    <w:p>
      <w:r>
        <w:rPr>
          <w:b/>
        </w:rPr>
        <w:t xml:space="preserve">Quelle: </w:t>
      </w:r>
      <w:r>
        <w:t>https://mcp.opencaselaw.ch/entscheid/ch_vb_2008-1117_2821_</w:t>
      </w:r>
    </w:p>
    <w:p>
      <w:r>
        <w:t>FR: CH_VB 2008-1117 2821 du 16 avril 2008</w:t>
      </w:r>
    </w:p>
    <w:p>
      <w:r>
        <w:t>IT: CH_VB 2008-1117 2821 del 16 aprile 2008</w:t>
      </w:r>
    </w:p>
    <w:p>
      <w:pPr>
        <w:pStyle w:val="Heading2"/>
      </w:pPr>
      <w:r>
        <w:t>Erwägungen</w:t>
      </w:r>
    </w:p>
    <w:p>
      <w:r>
        <w:rPr>
          <w:b/>
        </w:rPr>
        <w:t>E. 1</w:t>
      </w:r>
    </w:p>
    <w:p>
      <w:r>
        <w:t>Sur la base de l’art. 3 LMJ et 60 OLMJ, les tournois de poker décrits sous la let. B, sont qualifiés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600 francs sont mis à la charge de Verein event house (art. 112 ss OLMJ), Le solde de 300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Verein event house, Postfach 16, 1717 St. Ursen Un recours peut être déposé contre la présente décision dans les 30 jours qui suivent la notification, auprès du Tribunal administratif fédéral, Postfach, 3000 Berne 14.</w:t>
      </w:r>
    </w:p>
    <w:p>
      <w:r>
        <w:rPr>
          <w:b/>
        </w:rPr>
        <w:t>E. 6</w:t>
      </w:r>
    </w:p>
    <w:p>
      <w:r>
        <w:t>mai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Verein event house In Bundesblatt Dans Feuille fédérale In Foglio federale Jahr 2008 Année Anno Band 1 Volume Volume Heft 18 Cahier Numero Geschäftsnummer --- Numéro d'affaire Numero dell'oggetto Datum 06.05.2008 Date Data Seite 2821-2821 Page Pagina Ref. No</w:t>
      </w:r>
    </w:p>
    <w:p>
      <w:r>
        <w:rPr>
          <w:b/>
        </w:rPr>
        <w:t>E. 10</w:t>
      </w:r>
    </w:p>
    <w:p>
      <w:r>
        <w:t>141 706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