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2008-1076 3095 vom 18. Mai 2005</w:t>
      </w:r>
    </w:p>
    <w:p>
      <w:r>
        <w:t>Bundesverwaltung, 2005-05-18, DE</w:t>
      </w:r>
    </w:p>
    <w:p>
      <w:r>
        <w:rPr>
          <w:b/>
        </w:rPr>
        <w:t xml:space="preserve">Quelle: </w:t>
      </w:r>
      <w:r>
        <w:t>https://mcp.opencaselaw.ch/entscheid/ch_vb_2008-1076_3095_</w:t>
      </w:r>
    </w:p>
    <w:p>
      <w:r>
        <w:t>FR: CH_VB 2008-1076 3095 du 18 mai 2005</w:t>
      </w:r>
    </w:p>
    <w:p>
      <w:r>
        <w:t>IT: CH_VB 2008-1076 3095 del 18 maggio 2005</w:t>
      </w:r>
    </w:p>
    <w:p>
      <w:pPr>
        <w:pStyle w:val="Heading2"/>
      </w:pPr>
      <w:r>
        <w:t>Erwägungen</w:t>
      </w:r>
    </w:p>
    <w:p>
      <w:r>
        <w:rPr>
          <w:b/>
        </w:rPr>
        <w:t>E. 1</w:t>
      </w:r>
    </w:p>
    <w:p>
      <w:r>
        <w:t>Caractéristiques du produit (pour tous les produits mentionnés) Substance(s) active(s): pendiméthaline 400 g/l Formulation: SC suspension concentrée</w:t>
      </w:r>
    </w:p>
    <w:p>
      <w:r>
        <w:rPr>
          <w:b/>
        </w:rPr>
        <w:t>E. 2</w:t>
      </w:r>
    </w:p>
    <w:p>
      <w:r>
        <w:t>Produits commerciaux Stomp SC Numéro d’homologation suisse: D-2482 Pays d’origine: Allemagne numéro d’homologation étranger: 3907-00 titulaire de l’autorisation étranger: BASF AG Amon EV Numéro d’homologation suisse: F-2558 Pays d’origine: France numéro d’homologation étranger: 2020238 titulaire de l’autorisation étranger: BASF Agro SAS Pendulum Numéro d’homologation suisse: F-2561 Pays d’origine: France numéro d’homologation étranger: 9800194 titulaire de l’autorisation étranger: BASF Agro SAS Pendulum Turf Numéro d’homologation suisse: F-2562 Pays d’origine: France numéro d’homologation étranger: 2000512 titulaire de l’autorisation étranger: BASF Agro SAS Prowl 400 Numéro d’homologation suisse: F-2563 Pays d’origine: France numéro d’homologation étranger: 8900681 titulaire de l’autorisation étranger: BASF Agro SAS</w:t>
      </w:r>
    </w:p>
    <w:p>
      <w:r>
        <w:t>1 RS 916.161</w:t>
      </w:r>
    </w:p>
    <w:p>
      <w:r>
        <w:t>3096 Serenium Numéro d’homologation suisse: F-2564 Pays d’origine: France numéro d’homologation étranger: 2000513 titulaire de l’autorisation étranger: BASF Agro SAS Gator Numéro d’homologation suisse: F-2578 Pays d’origine: France numéro d’homologation étranger: 2010418 titulaire de l’autorisation étranger: CERA CHEM S.A.R.L. Stomp Numéro d’homologation suisse: F-2593 Pays d’origine: France numéro d’homologation étranger: 2030233 titulaire de l’autorisation étranger: Eurofyto Merrimac Numéro d’homologation suisse: F-2602 Pays d’origine: France numéro d’homologation étranger: 2010373 titulaire de l’autorisation étranger: Phytheron 2000 Baroud SC Numéro d’homologation suisse: F-2634 Pays d’origine: France numéro d’homologation étranger: 2030404 titulaire de l’autorisation étranger: Phyteurop Applications autorisées: Domaine d’application Organisme nuisible/effets Application (*) Culture maraîchère</w:t>
      </w:r>
    </w:p>
    <w:p>
      <w:r>
        <w:t>carotte dicotylédones annuelles, monocotylédones annuelles Dosage: 2.5–3 l/ha Application: pré-levée. 1, 2, 3,</w:t>
      </w:r>
    </w:p>
    <w:p>
      <w:r>
        <w:rPr>
          <w:b/>
        </w:rPr>
        <w:t>E. 4</w:t>
      </w:r>
    </w:p>
    <w:p>
      <w:r>
        <w:t>= Uniquement en mélange avec 0.5 kg/ha de Molipan.</w:t>
      </w:r>
    </w:p>
    <w:p>
      <w:r>
        <w:rPr>
          <w:b/>
        </w:rPr>
        <w:t>E. 5</w:t>
      </w:r>
    </w:p>
    <w:p>
      <w:r>
        <w:t>= Sol organique.</w:t>
      </w:r>
    </w:p>
    <w:p>
      <w:r>
        <w:rPr>
          <w:b/>
        </w:rPr>
        <w:t>E. 6</w:t>
      </w:r>
    </w:p>
    <w:p>
      <w:r>
        <w:t>= Uniquement en mélange avec 1.0 kg/ha de Molipan.</w:t>
      </w:r>
    </w:p>
    <w:p>
      <w:r>
        <w:rPr>
          <w:b/>
        </w:rPr>
        <w:t>E. 7</w:t>
      </w:r>
    </w:p>
    <w:p>
      <w:r>
        <w:t>= Cette autorisation n’inclut pas les céréales semées après un travail superficiel. Le traitement est autorisé uniquement sur les semis dont la profondeur est régulière.</w:t>
      </w:r>
    </w:p>
    <w:p>
      <w:r>
        <w:rPr>
          <w:b/>
        </w:rPr>
        <w:t>E. 8</w:t>
      </w:r>
    </w:p>
    <w:p>
      <w:r>
        <w:t>= 1 traitement au maximum jusqu’à la fin juin au plus tard.</w:t>
      </w:r>
    </w:p>
    <w:p>
      <w:r>
        <w:rPr>
          <w:b/>
        </w:rPr>
        <w:t>E. 9</w:t>
      </w:r>
    </w:p>
    <w:p>
      <w:r>
        <w:t>= Uniquement en mélange avec 2–3 kg/ha d’Atrazine 50 %, ou 1–1.5 kg/ha d’Atrazine 90 %.</w:t>
      </w:r>
    </w:p>
    <w:p>
      <w:r>
        <w:rPr>
          <w:b/>
        </w:rPr>
        <w:t>E. 10</w:t>
      </w:r>
    </w:p>
    <w:p>
      <w:r>
        <w:t>= Uniquement en mélange avec 1–2 kg/ha de Molipan.</w:t>
      </w:r>
    </w:p>
    <w:p>
      <w:r>
        <w:rPr>
          <w:b/>
        </w:rPr>
        <w:t>E. 11</w:t>
      </w:r>
    </w:p>
    <w:p>
      <w:r>
        <w:t>= Sol lourd, humifère.</w:t>
      </w:r>
    </w:p>
    <w:p>
      <w:r>
        <w:rPr>
          <w:b/>
        </w:rPr>
        <w:t>E. 12</w:t>
      </w:r>
    </w:p>
    <w:p>
      <w:r>
        <w:t>= Uniquement en mélange avec 1–2 l/ha de Basagran.</w:t>
      </w:r>
    </w:p>
    <w:p>
      <w:r>
        <w:rPr>
          <w:b/>
        </w:rPr>
        <w:t>E. 13</w:t>
      </w:r>
    </w:p>
    <w:p>
      <w:r>
        <w:t>= Uniquement en mélange avec 0.75 kg/ha de Molipan.</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3095-3098 Page Pagina Ref. No 10 141 757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