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2008-1070 3079 vom 18. Mai 2005</w:t>
      </w:r>
    </w:p>
    <w:p>
      <w:r>
        <w:t>Bundesverwaltung, 2005-05-18, DE</w:t>
      </w:r>
    </w:p>
    <w:p>
      <w:r>
        <w:rPr>
          <w:b/>
        </w:rPr>
        <w:t xml:space="preserve">Quelle: </w:t>
      </w:r>
      <w:r>
        <w:t>https://mcp.opencaselaw.ch/entscheid/ch_vb_2008-1070_3079_</w:t>
      </w:r>
    </w:p>
    <w:p>
      <w:r>
        <w:t>FR: CH_VB 2008-1070 3079 du 18 mai 2005</w:t>
      </w:r>
    </w:p>
    <w:p>
      <w:r>
        <w:t>IT: CH_VB 2008-1070 3079 del 18 maggio 2005</w:t>
      </w:r>
    </w:p>
    <w:p>
      <w:pPr>
        <w:pStyle w:val="Heading2"/>
      </w:pPr>
      <w:r>
        <w:t>Erwägungen</w:t>
      </w:r>
    </w:p>
    <w:p>
      <w:r>
        <w:rPr>
          <w:b/>
        </w:rPr>
        <w:t>E. 1</w:t>
      </w:r>
    </w:p>
    <w:p>
      <w:r>
        <w:t>Caractéristiques du produit (pour tous les produits mentionnés) Substance(s) active(s): tébuconazole 250 g/l Formulation: EW emulsion de type aqueux</w:t>
      </w:r>
    </w:p>
    <w:p>
      <w:r>
        <w:rPr>
          <w:b/>
        </w:rPr>
        <w:t>E. 2</w:t>
      </w:r>
    </w:p>
    <w:p>
      <w:r>
        <w:t>Produits commerciaux Folicur Numéro d’homologation suisse: D-2491 Pays d’origine: Allemagne numéro d’homologation étranger: 4028-00 titulaire de l’autorisation étranger: Bayer CropScience AG Corail Numéro d’homologation suisse: F-2628 Pays d’origine: France numéro d’homologation étranger: 9300257 titulaire de l’autorisation étranger: Bayer CropScience SA Horizon EW Numéro d’homologation suisse: F-2629 Pays d’origine: France numéro d’homologation étranger: 9200078 titulaire de l’autorisation étranger: Bayer CropScience SA Maronee Numéro d’homologation suisse: F-2630 Pays d’origine: France numéro d’homologation étranger: 2000420 titulaire de l’autorisation étranger: Bayer CropScience SA Tabou Numéro d’homologation suisse: F-2631 Pays d’origine: France numéro d’homologation étranger: 2010482 titulaire de l’autorisation étranger: Bayer CropScience SA</w:t>
      </w:r>
    </w:p>
    <w:p>
      <w:r>
        <w:t>1 RS 916.161</w:t>
      </w:r>
    </w:p>
    <w:p>
      <w:r>
        <w:t>3080 Triade Numéro d’homologation suisse: F-2632 Pays d’origine: France numéro d’homologation étranger: 9500054 titulaire de l’autorisation étranger: Bayer CropScience SA Applications autorisées: Domaine d’application Organisme nuisible/effets Application (*) Arboriculture</w:t>
      </w:r>
    </w:p>
    <w:p>
      <w:r>
        <w:t>cerisier moniliose des fleurs Concentration: 0.03 % Dosage: 0.48 l/ha Application: de la floraison aux stades I-J. 1, 2, 3 Culture maraîchère</w:t>
      </w:r>
    </w:p>
    <w:p>
      <w:r>
        <w:t>asperge brûlure des feuilles de l’asperge, rouille de l’asperge Dosage: 1.5 l/ha Application: Plantations jeunes et de rendement (après la coupe). 3, 4 carotte alternariose de la carotte, oïdium Dosage: 1 l/ha Délai d’attente: 3 Semaine(s) Application: au début de l’attaque.</w:t>
      </w:r>
    </w:p>
    <w:p>
      <w:r>
        <w:rPr>
          <w:b/>
        </w:rPr>
        <w:t>E. 5</w:t>
      </w:r>
    </w:p>
    <w:p>
      <w:r>
        <w:t>choux maladie des taches noires du chou, oïdium Dosage: 1 l/ha Délai d’attente: 3 Semaine(s) Application: au début de l’attaque.</w:t>
      </w:r>
    </w:p>
    <w:p>
      <w:r>
        <w:rPr>
          <w:b/>
        </w:rPr>
        <w:t>E. 6</w:t>
      </w:r>
    </w:p>
    <w:p>
      <w:r>
        <w:t>haricots pourriture du collet et de la tige (Sclerotinia sclerotiorum), pourriture grise (Botrytis cinerea) Dosage: 1 l/ha Délai d’attente: 3 Semaine(s) Application: Début de la florai- son et pleine floraison. 4, 7, 8 blé tendre (froment) fusarioses de l’épi Dosage: 1 l/ha Application: stade 55–69 (BBCH). 9, 10 blé tendre (froment) rouille jaune Dosage: 0.5–1 l/ha Application: stade 32–61 (BBCH). 9, 11 blé tendre (froment) rouille brune des céréales Dosage: 0.5–1 l/ha Application: stade 37–61 (BBCH). 9, 12 blé tendre (froment) oïdium des céréales Dosage: 1 l/ha Application: stade 32–61 (BBCH).</w:t>
      </w:r>
    </w:p>
    <w:p>
      <w:r>
        <w:rPr>
          <w:b/>
        </w:rPr>
        <w:t>E. 9</w:t>
      </w:r>
    </w:p>
    <w:p>
      <w:r>
        <w:t>= 1 traitement par parcelle et par année au maximum.</w:t>
      </w:r>
    </w:p>
    <w:p>
      <w:r>
        <w:rPr>
          <w:b/>
        </w:rPr>
        <w:t>E. 10</w:t>
      </w:r>
    </w:p>
    <w:p>
      <w:r>
        <w:t>= Sur les variétés sensibles après travail du sol minimal (après du blé ou du maïs).</w:t>
      </w:r>
    </w:p>
    <w:p>
      <w:r>
        <w:rPr>
          <w:b/>
        </w:rPr>
        <w:t>E. 11</w:t>
      </w:r>
    </w:p>
    <w:p>
      <w:r>
        <w:t>= Dosage élevé: pour les variétés très sensibles ou à l’apparition de foyers.</w:t>
      </w:r>
    </w:p>
    <w:p>
      <w:r>
        <w:rPr>
          <w:b/>
        </w:rPr>
        <w:t>E. 12</w:t>
      </w:r>
    </w:p>
    <w:p>
      <w:r>
        <w:t>= Dosage élevé uniquement pour les variétés très sensibles.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rPr>
          <w:b/>
        </w:rPr>
        <w:t>E. 14</w:t>
      </w:r>
    </w:p>
    <w:p>
      <w:r>
        <w:t>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w:t>
      </w:r>
    </w:p>
    <w:p>
      <w:r>
        <w:rPr>
          <w:b/>
        </w:rPr>
        <w:t>E. 19</w:t>
      </w:r>
    </w:p>
    <w:p>
      <w:r>
        <w:t>Cahier Numero Geschäftsnummer --- Numéro d'affaire Numero dell'oggetto Datum 14.05.2008 Date Data Seite 3079-3081 Page Pagina Ref. No 10 141 751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