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2008-1069 3075 vom 18. Mai 2005</w:t>
      </w:r>
    </w:p>
    <w:p>
      <w:r>
        <w:t>Bundesverwaltung, 2005-05-18, DE</w:t>
      </w:r>
    </w:p>
    <w:p>
      <w:r>
        <w:rPr>
          <w:b/>
        </w:rPr>
        <w:t xml:space="preserve">Quelle: </w:t>
      </w:r>
      <w:r>
        <w:t>https://mcp.opencaselaw.ch/entscheid/ch_vb_2008-1069_3075_</w:t>
      </w:r>
    </w:p>
    <w:p>
      <w:r>
        <w:t>FR: CH_VB 2008-1069 3075 du 18 mai 2005</w:t>
      </w:r>
    </w:p>
    <w:p>
      <w:r>
        <w:t>IT: CH_VB 2008-1069 3075 del 18 maggio 2005</w:t>
      </w:r>
    </w:p>
    <w:p>
      <w:pPr>
        <w:pStyle w:val="Heading2"/>
      </w:pPr>
      <w:r>
        <w:t>Erwägungen</w:t>
      </w:r>
    </w:p>
    <w:p>
      <w:r>
        <w:rPr>
          <w:b/>
        </w:rPr>
        <w:t>E. 1</w:t>
      </w:r>
    </w:p>
    <w:p>
      <w:r>
        <w:t>Caractéristiques du produit (pour tous les produits mentionnés) Substance(s) active(s): azoxystrobine 250 g/l Formulation: SC suspension concentrée</w:t>
      </w:r>
    </w:p>
    <w:p>
      <w:r>
        <w:rPr>
          <w:b/>
        </w:rPr>
        <w:t>E. 2</w:t>
      </w:r>
    </w:p>
    <w:p>
      <w:r>
        <w:t>= Sur la même parcelle, 3 traitements par année au maximum.</w:t>
      </w:r>
    </w:p>
    <w:p>
      <w:r>
        <w:rPr>
          <w:b/>
        </w:rPr>
        <w:t>E. 3</w:t>
      </w:r>
    </w:p>
    <w:p>
      <w:r>
        <w:t>= Du stade de 3 feuilles jusqu’à la mi-août.</w:t>
      </w:r>
    </w:p>
    <w:p>
      <w:r>
        <w:t>3078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3075-3078 Page Pagina Ref. No 10 141 750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