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2008-1067 3069 vom 18. Mai 2005</w:t>
      </w:r>
    </w:p>
    <w:p>
      <w:r>
        <w:t>Bundesverwaltung, 2005-05-18, DE</w:t>
      </w:r>
    </w:p>
    <w:p>
      <w:r>
        <w:rPr>
          <w:b/>
        </w:rPr>
        <w:t xml:space="preserve">Quelle: </w:t>
      </w:r>
      <w:r>
        <w:t>https://mcp.opencaselaw.ch/entscheid/ch_vb_2008-1067_3069_</w:t>
      </w:r>
    </w:p>
    <w:p>
      <w:r>
        <w:t>FR: CH_VB 2008-1067 3069 du 18 mai 2005</w:t>
      </w:r>
    </w:p>
    <w:p>
      <w:r>
        <w:t>IT: CH_VB 2008-1067 3069 del 18 maggio 2005</w:t>
      </w:r>
    </w:p>
    <w:p>
      <w:pPr>
        <w:pStyle w:val="Heading2"/>
      </w:pPr>
      <w:r>
        <w:t>Erwägungen</w:t>
      </w:r>
    </w:p>
    <w:p>
      <w:r>
        <w:rPr>
          <w:b/>
        </w:rPr>
        <w:t>E. 1</w:t>
      </w:r>
    </w:p>
    <w:p>
      <w:r>
        <w:t>Caractéristiques du produit (pour tous les produits mentionnés) Substance(s) active(s): cyprodinil 37.5 % fludioxonil 25 % Formulation: WG granulés à disperser dans l’eau</w:t>
      </w:r>
    </w:p>
    <w:p>
      <w:r>
        <w:rPr>
          <w:b/>
        </w:rPr>
        <w:t>E. 2</w:t>
      </w:r>
    </w:p>
    <w:p>
      <w:r>
        <w:t>= Le dosage indiqué se réfère aux stades pleine floraison et le début de la coloration rouge des fruits, 4 plants par m2.</w:t>
      </w:r>
    </w:p>
    <w:p>
      <w:r>
        <w:rPr>
          <w:b/>
        </w:rPr>
        <w:t>E. 3</w:t>
      </w:r>
    </w:p>
    <w:p>
      <w:r>
        <w:t>= Pour les framboises d’été et les mûres, le dosage indiqué se réfère aux stades du début de la floraison et de la pleine floraison, volume de haie 10 000 m3 par ha. Pour les framboi- ses d’automne, le dosage indiqué se réfère aux stades des boutons floraux penchants et les premières fleurs ouvertes, volume de haie 7 500 m3 par ha.</w:t>
      </w:r>
    </w:p>
    <w:p>
      <w:r>
        <w:rPr>
          <w:b/>
        </w:rPr>
        <w:t>E. 4</w:t>
      </w:r>
    </w:p>
    <w:p>
      <w:r>
        <w:t>= La concentration indiquée se réfère à un volume d’eau de base de 1000 l par ha.</w:t>
      </w:r>
    </w:p>
    <w:p>
      <w:r>
        <w:rPr>
          <w:b/>
        </w:rPr>
        <w:t>E. 5</w:t>
      </w:r>
    </w:p>
    <w:p>
      <w:r>
        <w:t>= Convient également au traitement par voie aérienne.</w:t>
      </w:r>
    </w:p>
    <w:p>
      <w:r>
        <w:rPr>
          <w:b/>
        </w:rPr>
        <w:t>E. 6</w:t>
      </w:r>
    </w:p>
    <w:p>
      <w:r>
        <w:t>= Le dosage doit s’appliquer à un volume d’arbre de 10 000 m3 par ha.</w:t>
      </w:r>
    </w:p>
    <w:p>
      <w:r>
        <w:rPr>
          <w:b/>
        </w:rPr>
        <w:t>E. 7</w:t>
      </w:r>
    </w:p>
    <w:p>
      <w:r>
        <w:t>= Dernier traitement au début du stade pâteux ou lorsque la couleur commence à changer, mais à la mi-août au plus tard.</w:t>
      </w:r>
    </w:p>
    <w:p>
      <w:r>
        <w:rPr>
          <w:b/>
        </w:rPr>
        <w:t>E. 8</w:t>
      </w:r>
    </w:p>
    <w:p>
      <w:r>
        <w:t>= 1 traitement au maximum par année.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w:t>
      </w:r>
    </w:p>
    <w:p>
      <w:r>
        <w:t>3072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3069-3072 Page Pagina Ref. No</w:t>
      </w:r>
    </w:p>
    <w:p>
      <w:r>
        <w:rPr>
          <w:b/>
        </w:rPr>
        <w:t>E. 10</w:t>
      </w:r>
    </w:p>
    <w:p>
      <w:r>
        <w:t>141 748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