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2008-1048 3045 vom 18. Mai 2005</w:t>
      </w:r>
    </w:p>
    <w:p>
      <w:r>
        <w:t>Bundesverwaltung, 2005-05-18, DE</w:t>
      </w:r>
    </w:p>
    <w:p>
      <w:r>
        <w:rPr>
          <w:b/>
        </w:rPr>
        <w:t xml:space="preserve">Quelle: </w:t>
      </w:r>
      <w:r>
        <w:t>https://mcp.opencaselaw.ch/entscheid/ch_vb_2008-1048_3045_</w:t>
      </w:r>
    </w:p>
    <w:p>
      <w:r>
        <w:t>FR: CH_VB 2008-1048 3045 du 18 mai 2005</w:t>
      </w:r>
    </w:p>
    <w:p>
      <w:r>
        <w:t>IT: CH_VB 2008-1048 3045 del 18 maggio 2005</w:t>
      </w:r>
    </w:p>
    <w:p>
      <w:pPr>
        <w:pStyle w:val="Heading2"/>
      </w:pPr>
      <w:r>
        <w:t>Erwägungen</w:t>
      </w:r>
    </w:p>
    <w:p>
      <w:r>
        <w:rPr>
          <w:b/>
        </w:rPr>
        <w:t>E. 1</w:t>
      </w:r>
    </w:p>
    <w:p>
      <w:r>
        <w:t>Caractéristiques du produit (pour tous les produits mentionnés) Substance(s) active(s): métamitron 70 % Formulation: WG granulés à disperser dans l’eau</w:t>
      </w:r>
    </w:p>
    <w:p>
      <w:r>
        <w:rPr>
          <w:b/>
        </w:rPr>
        <w:t>E. 2</w:t>
      </w:r>
    </w:p>
    <w:p>
      <w:r>
        <w:t>Produits commerciaux Bietomix 70 Numéro d’homologation suisse: I-4226 Pays d’origine: Italie numéro d’homologation étranger: 10078 titulaire de l’autorisation étranger: Agrimix S.R.L. Giver Top 70 WG Numéro d’homologation suisse: I-4260 Pays d’origine: Italie numéro d’homologation étranger: 11469 titulaire de l’autorisation étranger: Green Trade SRL Applications autorisées: Domaine d’application Organisme nuisible/effets Application (*) Culture maraîchère</w:t>
      </w:r>
    </w:p>
    <w:p>
      <w:r>
        <w:t>betterave à salade dicotylédones annuelles, monocotylédones annuelles Dosage: 4 kg/ha Application: post-levée. 1 betterave à salade dicotylédones annuelles, monocotylédones annuelles Dosage: 5 kg/ha Application: post-levée. 2, 3</w:t>
      </w:r>
    </w:p>
    <w:p>
      <w:r>
        <w:t>1 RS 916.161</w:t>
      </w:r>
    </w:p>
    <w:p>
      <w:r>
        <w:t>3046 Domaine d’application Organisme nuisible/effets Application (*) Grande culture</w:t>
      </w:r>
    </w:p>
    <w:p>
      <w:r>
        <w:t>betterave fourragère, betterave sucrière dicotylédones annuelles, monocotylédones annuelles Dosage: 5 kg/ha Application: printemps: pré- et post-levée.</w:t>
      </w:r>
    </w:p>
    <w:p>
      <w:r>
        <w:rPr>
          <w:b/>
        </w:rPr>
        <w:t>E. 4</w:t>
      </w:r>
    </w:p>
    <w:p>
      <w:r>
        <w:t>= Il est possible de fractionner l’application (le dosage indiqué correspond à la quantité totale autorisée).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3045-3046 Page Pagina Ref. No 10 141 739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