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2008-0991 2465 vom 9. April 2008</w:t>
      </w:r>
    </w:p>
    <w:p>
      <w:r>
        <w:t>Bundesverwaltung, 2008-04-09, DE</w:t>
      </w:r>
    </w:p>
    <w:p>
      <w:r>
        <w:rPr>
          <w:b/>
        </w:rPr>
        <w:t xml:space="preserve">Quelle: </w:t>
      </w:r>
      <w:r>
        <w:t>https://mcp.opencaselaw.ch/entscheid/ch_vb_2008-0991_2465_</w:t>
      </w:r>
    </w:p>
    <w:p>
      <w:r>
        <w:t>FR: CH_VB 2008-0991 2465 du 9 avril 2008</w:t>
      </w:r>
    </w:p>
    <w:p>
      <w:r>
        <w:t>IT: CH_VB 2008-0991 2465 del 9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800 francs sont mis à la charge de l’Association neuchâteloise Full Hold’em, représentée par Michel Ulrich (art. 112 ss OLMJ), Le solde de 500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Association neuchâteloise Full Hold’em, représentée par Michel Ulrich, Ch. du Pré 1, 2016 Cortaillod Un recours peut être déposé contre la présente décision dans les 30 jours qui suivent la notification, auprès du Tribunal administratif fédéral, Postfach, 3000 Berne 14. 22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Association neuchâteloise Full Hold'em In Bundesblatt Dans Feuille fédérale In Foglio federale Jahr 2008 Année Anno Band 1 Volume Volume Heft 16 Cahier Numero Geschäftsnummer --- Numéro d'affaire Numero dell'oggetto Datum 22.04.2008 Date Data Seite 2465-2465 Page Pagina Ref. No</w:t>
      </w:r>
    </w:p>
    <w:p>
      <w:r>
        <w:rPr>
          <w:b/>
        </w:rPr>
        <w:t>E. 10</w:t>
      </w:r>
    </w:p>
    <w:p>
      <w:r>
        <w:t>141 666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