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2008-0464 1199 vom 19. Februar 2008</w:t>
      </w:r>
    </w:p>
    <w:p>
      <w:r>
        <w:t>Bundesverwaltung, 2008-02-19, DE</w:t>
      </w:r>
    </w:p>
    <w:p>
      <w:r>
        <w:rPr>
          <w:b/>
        </w:rPr>
        <w:t xml:space="preserve">Quelle: </w:t>
      </w:r>
      <w:r>
        <w:t>https://mcp.opencaselaw.ch/entscheid/ch_vb_2008-0464_1199_</w:t>
      </w:r>
    </w:p>
    <w:p>
      <w:r>
        <w:t>FR: CH_VB 2008-0464 1199 du 19 février 2008</w:t>
      </w:r>
    </w:p>
    <w:p>
      <w:r>
        <w:t>IT: CH_VB 2008-0464 1199 del 19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Cedric Herzog, John Kaufmann und Andrea Catania (art. 112 ss OLMJ) et seront prélevés, après l’entrée en vigeur de la présente décision, sur l’avance de frais du même montant.</w:t>
      </w:r>
    </w:p>
    <w:p>
      <w:r>
        <w:rPr>
          <w:b/>
        </w:rPr>
        <w:t>E. 4</w:t>
      </w:r>
    </w:p>
    <w:p>
      <w:r>
        <w:t>Cette décision est communiquée aux cantons et publiée dans la Feuille fédérale.</w:t>
      </w:r>
    </w:p>
    <w:p>
      <w:r>
        <w:rPr>
          <w:b/>
        </w:rPr>
        <w:t>E. 5</w:t>
      </w:r>
    </w:p>
    <w:p>
      <w:r>
        <w:t>Notifiée à: – Cedric Herzog, John Kaufmann und Andrea Catania, p.Adr. Cedric Herzog, Frohburgstr. 7, 4132 Muttenz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Herzog/Kaufmann/Catania In Bundesblatt Dans Feuille fédérale In Foglio federale Jahr 2008 Année Anno Band 1 Volume Volume Heft</w:t>
      </w:r>
    </w:p>
    <w:p>
      <w:r>
        <w:rPr>
          <w:b/>
        </w:rPr>
        <w:t>E. 07</w:t>
      </w:r>
    </w:p>
    <w:p>
      <w:r>
        <w:t>Cahier Numero Geschäftsnummer --- Numéro d'affaire Numero dell'oggetto Datum 19.02.2008 Date Data Seite 1199-1199 Page Pagina Ref. No</w:t>
      </w:r>
    </w:p>
    <w:p>
      <w:r>
        <w:rPr>
          <w:b/>
        </w:rPr>
        <w:t>E. 10</w:t>
      </w:r>
    </w:p>
    <w:p>
      <w:r>
        <w:t>141 469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