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2007-2653 7837 vom 18. Mai 2005</w:t>
      </w:r>
    </w:p>
    <w:p>
      <w:r>
        <w:t>Bundesverwaltung, 2005-05-18, DE</w:t>
      </w:r>
    </w:p>
    <w:p>
      <w:r>
        <w:rPr>
          <w:b/>
        </w:rPr>
        <w:t xml:space="preserve">Quelle: </w:t>
      </w:r>
      <w:r>
        <w:t>https://mcp.opencaselaw.ch/entscheid/ch_vb_2007-2653_7837_</w:t>
      </w:r>
    </w:p>
    <w:p>
      <w:r>
        <w:t>FR: CH_VB 2007-2653 7837 du 18 mai 2005</w:t>
      </w:r>
    </w:p>
    <w:p>
      <w:r>
        <w:t>IT: CH_VB 2007-2653 7837 del 18 maggio 2005</w:t>
      </w:r>
    </w:p>
    <w:p>
      <w:pPr>
        <w:pStyle w:val="Heading2"/>
      </w:pPr>
      <w:r>
        <w:t>Erwägungen</w:t>
      </w:r>
    </w:p>
    <w:p>
      <w:r>
        <w:rPr>
          <w:b/>
        </w:rPr>
        <w:t>E. 1</w:t>
      </w:r>
    </w:p>
    <w:p>
      <w:r>
        <w:t>Caractéristiques du produit (pour tous les produits mentionnés) Substance(s) active(s): flusilazole 250 g/l Formulation: EW emulsion de type aqueux</w:t>
      </w:r>
    </w:p>
    <w:p>
      <w:r>
        <w:rPr>
          <w:b/>
        </w:rPr>
        <w:t>E. 2</w:t>
      </w:r>
    </w:p>
    <w:p>
      <w:r>
        <w:t>= 1 traitement au maximum entre le stade 1 noeud et le début de l’anthèse (BBCH 31-61).</w:t>
      </w:r>
    </w:p>
    <w:p>
      <w:r>
        <w:rPr>
          <w:b/>
        </w:rPr>
        <w:t>E. 3</w:t>
      </w:r>
    </w:p>
    <w:p>
      <w:r>
        <w:t>= Si plus de 30 % des 3 feuilles supérieures des maîtres-brins présentent des symptômes.</w:t>
      </w:r>
    </w:p>
    <w:p>
      <w:r>
        <w:rPr>
          <w:b/>
        </w:rPr>
        <w:t>E. 4</w:t>
      </w:r>
    </w:p>
    <w:p>
      <w:r>
        <w:t>= Dès le début de l’attaque.</w:t>
      </w:r>
    </w:p>
    <w:p>
      <w:r>
        <w:rPr>
          <w:b/>
        </w:rPr>
        <w:t>E. 5</w:t>
      </w:r>
    </w:p>
    <w:p>
      <w:r>
        <w:t>= Chez les variétés peu sensibles, si plus de 20 % des 3 feuilles supérieures bien développées sont attaquées (BBCH 37-61). Chez les variétés sensibles dès le début de l’attaque.</w:t>
      </w:r>
    </w:p>
    <w:p>
      <w:r>
        <w:rPr>
          <w:b/>
        </w:rPr>
        <w:t>E. 6</w:t>
      </w:r>
    </w:p>
    <w:p>
      <w:r>
        <w:t>= Dans les zones présentant un risque de septoriose et pour les variétés sensibles. Traitement depuis le début de l’épiaison jusqu’au début de l’anthèse (BBCH 51-61).</w:t>
      </w:r>
    </w:p>
    <w:p>
      <w:r>
        <w:rPr>
          <w:b/>
        </w:rPr>
        <w:t>E. 7</w:t>
      </w:r>
    </w:p>
    <w:p>
      <w:r>
        <w:t>= Au maximum 1 traitement entre le début de l’élongation de la tige et le stade 2 nSuds (BBCH 30-32) dans les cultures de rotation serrées et lorsque plus de 15 à 20 % des tiges sont contaminés.</w:t>
      </w:r>
    </w:p>
    <w:p>
      <w:r>
        <w:rPr>
          <w:b/>
        </w:rPr>
        <w:t>E. 8</w:t>
      </w:r>
    </w:p>
    <w:p>
      <w:r>
        <w:t>= Maximum 1 traitement aux stades BBCH 20-27 (pas de pousses latérales-7 pousses latérales), si taches foliaires visibles, sur les variétés sensibles.</w:t>
      </w:r>
    </w:p>
    <w:p>
      <w:r>
        <w:rPr>
          <w:b/>
        </w:rPr>
        <w:t>E. 9</w:t>
      </w:r>
    </w:p>
    <w:p>
      <w:r>
        <w:t>= Maximum 1 traitement aux stades BBCH 61-65 (début - pleine floraison) sur les variétés sensibles.</w:t>
      </w:r>
    </w:p>
    <w:p>
      <w:r>
        <w:rPr>
          <w:b/>
        </w:rPr>
        <w:t>E. 10</w:t>
      </w:r>
    </w:p>
    <w:p>
      <w:r>
        <w:t>= 1 traitement au maximum entre le stade 1 noeud et le début de l’épiaison (BBCH 31-51), si plus de 30 % des 3 feuilles supérieures (complètement développées) des pousses principales présentent des signes d’attaque.</w:t>
      </w:r>
    </w:p>
    <w:p>
      <w:r>
        <w:rPr>
          <w:b/>
        </w:rPr>
        <w:t>E. 11</w:t>
      </w:r>
    </w:p>
    <w:p>
      <w:r>
        <w:t>= 1 traitement par parcelle et par année au maximum.</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w:t>
      </w:r>
    </w:p>
    <w:p>
      <w:r>
        <w:t>7839 conclusions, motifs et moyens de preuve et porte la signature de la partie recourante ou de son mandataire; y seront jointes la décision attaquée et les pièces invoquées comme moyens de preuve, lorsqu’elles sont disponibles. 27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48 Cahier Numero Geschäftsnummer --- Numéro d'affaire Numero dell'oggetto Datum 27.11.2007 Date Data Seite 7837-7839 Page Pagina Ref. No 10 141 161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