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2007-2650 7829 vom 18. Mai 2005</w:t>
      </w:r>
    </w:p>
    <w:p>
      <w:r>
        <w:t>Bundesverwaltung, 2005-05-18, DE</w:t>
      </w:r>
    </w:p>
    <w:p>
      <w:r>
        <w:rPr>
          <w:b/>
        </w:rPr>
        <w:t xml:space="preserve">Quelle: </w:t>
      </w:r>
      <w:r>
        <w:t>https://mcp.opencaselaw.ch/entscheid/ch_vb_2007-2650_7829_</w:t>
      </w:r>
    </w:p>
    <w:p>
      <w:r>
        <w:t>FR: CH_VB 2007-2650 7829 du 18 mai 2005</w:t>
      </w:r>
    </w:p>
    <w:p>
      <w:r>
        <w:t>IT: CH_VB 2007-2650 7829 del 18 maggio 2005</w:t>
      </w:r>
    </w:p>
    <w:p>
      <w:pPr>
        <w:pStyle w:val="Heading2"/>
      </w:pPr>
      <w:r>
        <w:t>Erwägungen</w:t>
      </w:r>
    </w:p>
    <w:p>
      <w:r>
        <w:rPr>
          <w:b/>
        </w:rPr>
        <w:t>E. 1</w:t>
      </w:r>
    </w:p>
    <w:p>
      <w:r>
        <w:t>Caractéristiques du produit (pour tous les produits mentionnés) Substance(s) active(s): rimsulfuron 25 % Formulation: WG granulés à disperser dans l’eau</w:t>
      </w:r>
    </w:p>
    <w:p>
      <w:r>
        <w:rPr>
          <w:b/>
        </w:rPr>
        <w:t>E. 2</w:t>
      </w:r>
    </w:p>
    <w:p>
      <w:r>
        <w:t>Produits commerciaux Titus Numéro d’homologation suisse: F-4033 Pays d’origine: France numéro d’homologation étranger: 9000163 titulaire de l’autorisation étranger: DU PONT DE NEMOURS (FRANCE) S.A. Elden Numéro d’homologation suisse: F-4130 Pays d’origine: France numéro d’homologation étranger: 2030174 titulaire de l’autorisation étranger: DU PONT DE NEMOURS (FRANCE) S.A. Titus Numéro d’homologation suisse: A-4131 Pays d’origine: Autriche numéro d’homologation étranger: 2478-0 titulaire de l’autorisation étranger: Du Pont de Nemours Titus Numéro d’homologation suisse: A-4132 Pays d’origine: Autriche numéro d’homologation étranger: 2478-2 titulaire de l’autorisation étranger: TBH Agrochemie GmbH</w:t>
      </w:r>
    </w:p>
    <w:p>
      <w:r>
        <w:t>1 RS 916.161</w:t>
      </w:r>
    </w:p>
    <w:p>
      <w:r>
        <w:t>7830 Applications autorisées: Domaine d’application Organisme nuisible/effets Application (*) Grande culture</w:t>
      </w:r>
    </w:p>
    <w:p>
      <w:r>
        <w:t>maïs dicotylédones annuelles, millets, monocotylédones annuelles [ray-grass y compris] Dosage: 30–40 g/ha Application: printemps, post- levée; maïs, stade 2-4 feuilles,</w:t>
      </w:r>
    </w:p>
    <w:p>
      <w:r>
        <w:rPr>
          <w:b/>
        </w:rPr>
        <w:t>E. 6</w:t>
      </w:r>
    </w:p>
    <w:p>
      <w:r>
        <w:t>au maximum. 1, 2, 3 pomme de terre de consommation, pomme de terre fourragère dicotylédones annuelles, millets, monocotylédones annuelles Dosage: 40 g/ha Application: printemps; post-levée précoce. 1, 2, 3, 4</w:t>
      </w:r>
    </w:p>
    <w:p>
      <w:r>
        <w:t>(*) Charges et remarques 1 = Faire figurer dans le mode d’emploi la liste des variétés qui tolèrent le produit. 2 = A noter le risque élevé de résistance aux sulfonylurées. 3 = Il est possible de fractionner l’application (le dosage indiqué correspond à la quantité totale autorisée). 4 = Uniquement en mélange avec 0.5 l/ha d’Exell.</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27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48 Cahier Numero Geschäftsnummer --- Numéro d'affaire Numero dell'oggetto Datum 27.11.2007 Date Data Seite 7829-7830 Page Pagina Ref. No</w:t>
      </w:r>
    </w:p>
    <w:p>
      <w:r>
        <w:rPr>
          <w:b/>
        </w:rPr>
        <w:t>E. 10</w:t>
      </w:r>
    </w:p>
    <w:p>
      <w:r>
        <w:t>141 158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