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2007-2643 7439 vom 18. Mai 2005</w:t>
      </w:r>
    </w:p>
    <w:p>
      <w:r>
        <w:t>Bundesverwaltung, 2005-05-18, DE</w:t>
      </w:r>
    </w:p>
    <w:p>
      <w:r>
        <w:rPr>
          <w:b/>
        </w:rPr>
        <w:t xml:space="preserve">Quelle: </w:t>
      </w:r>
      <w:r>
        <w:t>https://mcp.opencaselaw.ch/entscheid/ch_vb_2007-2643_7439_</w:t>
      </w:r>
    </w:p>
    <w:p>
      <w:r>
        <w:t>FR: CH_VB 2007-2643 7439 du 18 mai 2005</w:t>
      </w:r>
    </w:p>
    <w:p>
      <w:r>
        <w:t>IT: CH_VB 2007-2643 7439 del 18 maggio 2005</w:t>
      </w:r>
    </w:p>
    <w:p>
      <w:pPr>
        <w:pStyle w:val="Heading2"/>
      </w:pPr>
      <w:r>
        <w:t>Erwägungen</w:t>
      </w:r>
    </w:p>
    <w:p>
      <w:r>
        <w:rPr>
          <w:b/>
        </w:rPr>
        <w:t>E. 1</w:t>
      </w:r>
    </w:p>
    <w:p>
      <w:r>
        <w:t>Caractéristiques du produit (pour tous les produits mentionnés) Substance(s) active(s): éthéphon 480 g/l Formulation: SL concentré soluble dans l’eau</w:t>
      </w:r>
    </w:p>
    <w:p>
      <w:r>
        <w:rPr>
          <w:b/>
        </w:rPr>
        <w:t>E. 2</w:t>
      </w:r>
    </w:p>
    <w:p>
      <w:r>
        <w:t>= Traitement entre l’apparition de la dernière feuille et le stade où les premières barbes sont visibles (BBCH 37–49).</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7439-7440 Page Pagina Ref. No 10 141 134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