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2007-1907 7367 vom 13. November 2007</w:t>
      </w:r>
    </w:p>
    <w:p>
      <w:r>
        <w:t>Bundesverwaltung, 2007-11-13, DE</w:t>
      </w:r>
    </w:p>
    <w:p>
      <w:r>
        <w:rPr>
          <w:b/>
        </w:rPr>
        <w:t xml:space="preserve">Quelle: </w:t>
      </w:r>
      <w:r>
        <w:t>https://mcp.opencaselaw.ch/entscheid/ch_vb_2007-1907_7367_</w:t>
      </w:r>
    </w:p>
    <w:p>
      <w:r>
        <w:t>FR: CH_VB 2007-1907 7367 du 13 novembre 2007</w:t>
      </w:r>
    </w:p>
    <w:p>
      <w:r>
        <w:t>IT: CH_VB 2007-1907 7367 del 13 novembre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101</w:t>
      </w:r>
    </w:p>
    <w:p>
      <w:r>
        <w:rPr>
          <w:b/>
        </w:rPr>
        <w:t>E. 2</w:t>
      </w:r>
    </w:p>
    <w:p>
      <w:r>
        <w:t>FF 2007 7217</w:t>
      </w:r>
    </w:p>
    <w:p>
      <w:r>
        <w:t>Développement de l’infrastructure ferroviaire. LF</w:t>
      </w:r>
    </w:p>
    <w:p>
      <w:r>
        <w:t>7368 d. intensification de la circulation: la réduction de l’intervalle entre deux trains circulant sur la même ligne dans la même direction; e. désenchevêtrement: les mesures prises dans un nœud qui permettent la circu- lation des trains sans croisement et augmentent la capacité des nœuds. Section 2 Mesures Art. 4 Mesures concernant les grands projets ferroviaires Les mesures comprennent: a. sur les lignes de base de la NLFA: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