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2007-1537 4717 vom 22. Juni 2007</w:t>
      </w:r>
    </w:p>
    <w:p>
      <w:r>
        <w:t>Bundesverwaltung, 2007-06-22, DE</w:t>
      </w:r>
    </w:p>
    <w:p>
      <w:r>
        <w:rPr>
          <w:b/>
        </w:rPr>
        <w:t xml:space="preserve">Quelle: </w:t>
      </w:r>
      <w:r>
        <w:t>https://mcp.opencaselaw.ch/entscheid/ch_vb_2007-1537_4717_</w:t>
      </w:r>
    </w:p>
    <w:p>
      <w:r>
        <w:t>FR: CH_VB 2007-1537 4717 du 22 juin 2007</w:t>
      </w:r>
    </w:p>
    <w:p>
      <w:r>
        <w:t>IT: CH_VB 2007-1537 4717 del 22 giugno 2007</w:t>
      </w:r>
    </w:p>
    <w:p>
      <w:pPr>
        <w:pStyle w:val="Heading2"/>
      </w:pPr>
      <w:r>
        <w:t>Volltext</w:t>
      </w:r>
    </w:p>
    <w:p>
      <w:r>
        <w:t>2007-1537 4717 Arrêtés fédéraux, règlement et ordonnance de l’Assemblée fédérale à publier ultérieurement</w:t>
      </w:r>
    </w:p>
    <w:p>
      <w:r>
        <w:t>L’Assemblée fédérale a adopté, au cours de la session d’été, le règlement, l'ordon- nance de l’Assemblée fédérale et les arrêtés fédéraux suivants: – Règlement du Conseil national (RCN) (Programme de la législature), modi- fication du 22 juin 2007 (FF 2006 1803). Ce règlement sera publié dans le Recueil officiel des lois fédérales dès que la base légale sur laquelle il se fonde sera en vigueur. – Ordonnance de l’Assemblée fédérale portant application de la loi sur le Par- lement et relative à l’administration du Parlement (Ordonnance sur l’administration du Parlement, OLPA) (modification des structures de direc- tion), modification du 22 juin 2007 (FF 2007 4063). Cette ordonnance sera publiée dans le Recueil officiel des lois fédérales, quand la Conférence de coordination fixera la date de l’entrée en vigueur. – Arrêté fédéral du 20 juin 2007 relatif au financement du recensement de la population pendant les années 2008 à 2015 (FF 2007 55); – Arrêté fédéral sur les subsides fédéraux dans l’assurance-maladie. Abroga- tion du 22 juin 2007 (FF 2007 597); Ces arrêtés fédéraux seront publiés dans la Feuille fédérale, dès que la base légale, sur laquelle ils se fondent, sera en vigueur. – Arrêté fédéral du 12 juin 2007 concernant la Convention de sécurité sociale entre la Suisse et la Bulgarie (FF 2007 157); – Arrêté fédéral du 12 juin 2007 relatif à l’Accord entre la Confédération suis- se et la Serbie-et-Monténégro concernant la promotion et la protection réciproque des investissements (FF 2006 8023); – Arrêté fédéral du 12 juin 2007 relatif à l’Accord entre la Confédération suis- se et la République du Guyana concernant la promotion et la protection réciproque des investissements (FF 2006 8023); – Arrêté fédéral du 12 juin 2007 relatif à l’Accord entre le Conseil fédéral suisse et le Gouvernement de la République d’Azerbaïdjan concernant la promotion et la protection réciproque des investissements (FF 2006 8023); – Arrêté fédéral du 12 juin 2007 relatif à l’Accord entre la Confédération suisse et le Royaume d’Arabie saoudite concernant l’encouragement et la protection réciproque des investissements (FF 2006 8023);</w:t>
      </w:r>
    </w:p>
    <w:p>
      <w:r>
        <w:t>Arrêtés fédéraux, règlement et ordonnance de l’Assemblée fédérale à publier ultérieurement 4718 – Arrêté fédéral du 12 juin 2007 relatif à l’Accord entre la Confédération suisse et la République de Colombie concernant la promotion et la protection réciproque des investissements (FF 2006 8023). Ces arrêtés fédéraux seront publiés dans le Recueil officiel des lois fédérales, en même temps que les accords qu’ils concernent, dès que ceux-ci entreront en vigueur pour la Suisse. 10 juillet 2007 Chancellerie fédérale</w:t>
      </w:r>
    </w:p>
    <w:p>
      <w:r>
        <w:t>Schweizerisches Bundesarchiv, Digitale Amtsdruckschriften Archives fédérales suisses, Publications officielles numérisées Archivio federale svizzero, Pubblicazioni ufficiali digitali Arrêtés fédéraux et ordonnance de l'Assemblée fédérale à publier ultérieurement In Bundesblatt Dans Feuille fédérale In Foglio federale Jahr 2007 Année Anno Band 1 Volume Volume Heft 28 Cahier Numero Geschäftsnummer --- Numéro d'affaire Numero dell'oggetto Datum 10.07.2007 Date Data Seite 4717-4718 Page Pagina Ref. No 10 140 741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