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2007-0727 2049 vom 27. März 2007</w:t>
      </w:r>
    </w:p>
    <w:p>
      <w:r>
        <w:t>Bundesverwaltung, 2007-03-27, DE</w:t>
      </w:r>
    </w:p>
    <w:p>
      <w:r>
        <w:rPr>
          <w:b/>
        </w:rPr>
        <w:t xml:space="preserve">Quelle: </w:t>
      </w:r>
      <w:r>
        <w:t>https://mcp.opencaselaw.ch/entscheid/ch_vb_2007-0727_2049_</w:t>
      </w:r>
    </w:p>
    <w:p>
      <w:r>
        <w:t>FR: CH_VB 2007-0727 2049 du 27 mars 2007</w:t>
      </w:r>
    </w:p>
    <w:p>
      <w:r>
        <w:t>IT: CH_VB 2007-0727 2049 del 27 marzo 2007</w:t>
      </w:r>
    </w:p>
    <w:p>
      <w:pPr>
        <w:pStyle w:val="Heading2"/>
      </w:pPr>
      <w:r>
        <w:t>Erwägungen</w:t>
      </w:r>
    </w:p>
    <w:p>
      <w:r>
        <w:rPr>
          <w:b/>
        </w:rPr>
        <w:t>E. 8</w:t>
      </w:r>
    </w:p>
    <w:p>
      <w:r>
        <w:t>H 13.08.2006–12.08.2009 (Renouvellement/modification) – 07-9781 / 100617 Tesa SA, 1020 Renens VD usinage, rectifiage, montage besoin urgent</w:t>
      </w:r>
    </w:p>
    <w:p>
      <w:r>
        <w:rPr>
          <w:b/>
        </w:rPr>
        <w:t>E. 12</w:t>
      </w:r>
    </w:p>
    <w:p>
      <w:r>
        <w:t>H 22.03.2007–21.03.2010 (Renouvellement) – 07-9661 / 101941 Ciments Vigier SA, 2603 Péry centrale de commande horaire d’exploitation indispensable pour des raisons techniques et économiques 5 H 22.03.2007–21.03.2010 (Renouvellement) – 07-9667 / 100778 Syngenta Crop Protection Monthey SA, 1870 Monthey bâtiments: 317, 334, 337, 343, 351, 370, 415, 452, 370 et 255 horaire d’exploitation indispensable pour des raisons techniques et économiques 222 H 02.04.2006–01.04.2009 (Modification) – 07-9678 / 101169 Nexans Suisse SA, 2016 Cortaillod usine 6 (3 machines): ligne de réticulation horizontale THT-LR2 (ligne 6, extru- sion horizontale) horaire d’exploitation indispensable pour des raisons économiques 20 H 04.03.2007–09.09.2009 (Renouvellement/modification)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2053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mars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w:t>
      </w:r>
    </w:p>
    <w:p>
      <w:r>
        <w:rPr>
          <w:b/>
        </w:rPr>
        <w:t>E. 13</w:t>
      </w:r>
    </w:p>
    <w:p>
      <w:r>
        <w:t>Cahier Numero Geschäftsnummer --- Numéro d'affaire Numero dell'oggetto Datum 27.03.2007 Date Data Seite 2049-2053 Page Pagina Ref. No 10 140 461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