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2007-0681 4813 vom 13. Juni 2008</w:t>
      </w:r>
    </w:p>
    <w:p>
      <w:r>
        <w:t>Bundesverwaltung, 2008-06-13, DE</w:t>
      </w:r>
    </w:p>
    <w:p>
      <w:r>
        <w:rPr>
          <w:b/>
        </w:rPr>
        <w:t xml:space="preserve">Quelle: </w:t>
      </w:r>
      <w:r>
        <w:t>https://mcp.opencaselaw.ch/entscheid/ch_vb_2007-0681_4813_</w:t>
      </w:r>
    </w:p>
    <w:p>
      <w:r>
        <w:t>FR: CH_VB 2007-0681 4813 du 13 juin 2008</w:t>
      </w:r>
    </w:p>
    <w:p>
      <w:r>
        <w:t>IT: CH_VB 2007-0681 4813 del 13 giugno 2008</w:t>
      </w:r>
    </w:p>
    <w:p>
      <w:pPr>
        <w:pStyle w:val="Heading2"/>
      </w:pPr>
      <w:r>
        <w:t>Erwägungen</w:t>
      </w:r>
    </w:p>
    <w:p>
      <w:r>
        <w:rPr>
          <w:b/>
        </w:rPr>
        <w:t>E. 1</w:t>
      </w:r>
    </w:p>
    <w:p>
      <w:r>
        <w:t>L’échange de notes du 28 mars 2008 entre la Suisse et la Communauté européenne concernant la reprise du Règlement (CE) 2252/2004 du Conseil du 13 décembre 2004 établissant des normes pour les éléments de sécurité et les éléments biométri- ques intégrés dans les passeports et les documents de voyage délivrés par les Etats membres3 est approuvé.</w:t>
      </w:r>
    </w:p>
    <w:p>
      <w:r>
        <w:rPr>
          <w:b/>
        </w:rPr>
        <w:t>E. 2</w:t>
      </w:r>
    </w:p>
    <w:p>
      <w:r>
        <w:t>FF 2007 4893</w:t>
      </w:r>
    </w:p>
    <w:p>
      <w:r>
        <w:rPr>
          <w:b/>
        </w:rPr>
        <w:t>E. 3</w:t>
      </w:r>
    </w:p>
    <w:p>
      <w:r>
        <w:t>JO L 385 du 29 décembre 2004, p. 1</w:t>
      </w:r>
    </w:p>
    <w:p>
      <w:r>
        <w:rPr>
          <w:b/>
        </w:rPr>
        <w:t>E. 4</w:t>
      </w:r>
    </w:p>
    <w:p>
      <w:r>
        <w:t>Sur demande du requérant, le document d’identité peut en outre comporter le nom d’alliance, le nom reçu dans un ordre religieux, le nom d’artiste ou le nom de parte- nariat, et la mention de signes particuliers tels que handicaps, prothèses ou implants. Art. 2a Sécurité et lecture de la puce 1 La puce doit être protégée contre les falsifications et la lecture non autorisée. Le Conseil fédéral fixe les exigences techniques. 2 Le Conseil fédéral est autorisé à conclure des traités avec d’autres Etats concernant la lecture des empreintes digitales enregistrées dans la puce, pour autant que les Etats concernés disposent d’une protection des données analogue à celle appliquée par la Suisse. 3 Il peut autoriser les compagnies de transport, les exploitants d’aéroports et d’autres services adéquats qui doivent vérifier l’identité de personnes à lire les empreintes digitales enregistrées dans la puce. Titre précédant l’art. 4 Section 2 Etablissement, production, retrait et perte des documents d’identité Art. 4, al. 1 1 Les documents d’identité sont établis en Suisse par les services désignés par les cantons. Le Conseil fédéral peut désigner d’autres services. Si un canton dispose de plusieurs autorités habilitées à établir des documents d’identité, il désigne un service responsable.</w:t>
      </w:r>
    </w:p>
    <w:p>
      <w:r>
        <w:rPr>
          <w:b/>
        </w:rPr>
        <w:t>E. 5</w:t>
      </w:r>
    </w:p>
    <w:p>
      <w:r>
        <w:t>Le Conseil fédéral détermine les autres conditions applicables aux centres chargés de produire les documents d’identité, aux entreprises générales, aux prestataires de services et aux fournisseurs. Art. 6b Tâches de l’Office fédéral de la police 1 Outre les tâches figurant dans la présente loi et dans les dispositions d’exécution, l’Office fédéral de la police assume les tâches suivantes: a. veiller au respect de l’art. 6a; b. renseigner les services suisses et étrangers et émettre des directives concer- nant les documents d’identité suisses, sous réserve d’intérêts liés au maintien du secret et à la protection des données; c. renseigner les particuliers sur les documents d’identité suisses et leur établis- sement, sous réserve d’intérêts liés au maintien du secret et à la protection des données; d. renseigner les centres chargés de produire les documents d’identité et les entreprises générales et leur adresser des directives ainsi que veiller au res- pect des spécifications; e. suivre les développements internationaux dans le domaine des documents d’identité et assumer la responsabilité de la mise en œuvre des standards internationaux; f. gérer l’infrastructure à clé publique (ICP) pour les documents d’identité suisses; g. sous réserve de dispositions spéciales dérogatoires, gérer le service de la Confédération spécialisé dans le domaine des documents d’identité et des pièces de légitimation. Art. 9, al. 2 2 Le montant des émoluments doit être favorable aux familles avec enfants.</w:t>
      </w:r>
    </w:p>
    <w:p>
      <w:r>
        <w:rPr>
          <w:b/>
        </w:rPr>
        <w:t>E. 6</w:t>
      </w:r>
    </w:p>
    <w:p>
      <w:r>
        <w:t>Le Conseil fédéral détermine les types de documents de voyage destinés aux étrangers qui sont munis d’une puce et les données qui doivent y être enregistrées.</w:t>
      </w:r>
    </w:p>
    <w:p>
      <w:r>
        <w:rPr>
          <w:b/>
        </w:rPr>
        <w:t>E. 7</w:t>
      </w:r>
    </w:p>
    <w:p>
      <w:r>
        <w:t>RS 142.20</w:t>
      </w:r>
    </w:p>
    <w:p>
      <w:r>
        <w:rPr>
          <w:b/>
        </w:rPr>
        <w:t>E. 8</w:t>
      </w:r>
    </w:p>
    <w:p>
      <w:r>
        <w:t>RS 143.1; FF 2008 4814</w:t>
      </w:r>
    </w:p>
    <w:p>
      <w:r>
        <w:t>Développement de l’Acquis de Schengen. AF 4819 Art. 111, al. 1, 2, let. a, 4 et 5 1 L’office exploite un système d’information en vue de l’établissement des docu- ments de voyage suisses et des autorisations de retour pour étrangers (ISR). 2 Ce système contient les données suivantes: a. nom, prénoms, sexe, date et lieu de naissance, nationalité, adresse, taille, photographie, empreintes digitales, noms – de naissance et d’alliance – et prénoms des parents, signature, numéro du dossier et numéro personnel; 4 Les collaborateurs de l’office chargés d’établir les documents de voyage suisses et les autorisations de retour traitent les données saisies en vertu de l’al. 2. 5 Dans la mesure où l’accomplissement de leurs tâches l’exige, l’office peut accor- der aux autorités et aux services mentionnés ci-après l’accès en ligne aux données saisies en vertu de l’al. 2: a. le centre chargé de produire les documents de voyage; b. les postes-frontière des autorités cantonales de police et le Corps des gardes- frontière, pour le contrôle des personnes; c. les services de police désignés par les cantons, pour les vérifications d’identité et l’enregistrement des déclarations de perte de documents de voyage.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des lois fédérales mention- nées à l’art. 2. Conseil des Etats, 13 juin 2008 Conseil national, 13 juin 2008 Le président: Christoffel Brändli Le secrétaire: Philippe Schwab Le président: André Bugnon Le secrétaire: Pierre-Hervé Freléchoz Date de publication: 24 juin 20089 Délai référendaire: 2 octobre 2008</w:t>
      </w:r>
    </w:p>
    <w:p>
      <w:r>
        <w:rPr>
          <w:b/>
        </w:rPr>
        <w:t>E. 9</w:t>
      </w:r>
    </w:p>
    <w:p>
      <w:r>
        <w:t>FF 2008 4813</w:t>
      </w:r>
    </w:p>
    <w:p>
      <w:r>
        <w:t>Développement de l’Acquis de Schengen. AF 4820</w:t>
      </w:r>
    </w:p>
    <w:p>
      <w:r>
        <w:t>Schweizerisches Bundesarchiv, Digitale Amtsdruckschriften Archives fédérales suisses, Publications officielles numérisées Archivio federale svizzero, Pubblicazioni ufficiali digitali Arrêté fédéral portant approbation et mise en oeuvre de l'échange de notes entre la Suisse et la Communauté européenne concernant la reprise du Règlement (CE) 2252/2004 relatif aux passeports biométriques et aux documents de voyage (Développement de ... In Bundesblatt Dans Feuille fédérale In Foglio federale Jahr 2008 Année Anno Band 1 Volume Volume Heft 25 Cahier Numero Geschäftsnummer --- Numéro d'affaire Numero dell'oggetto Datum 24.06.2008 Date Data Seite 4813-4820 Page Pagina Ref. No</w:t>
      </w:r>
    </w:p>
    <w:p>
      <w:r>
        <w:rPr>
          <w:b/>
        </w:rPr>
        <w:t>E. 10</w:t>
      </w:r>
    </w:p>
    <w:p>
      <w:r>
        <w:t>141 886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