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2007-0249 2421 vom 13. April 2005</w:t>
      </w:r>
    </w:p>
    <w:p>
      <w:r>
        <w:t>Bundesverwaltung, 2005-04-13, DE</w:t>
      </w:r>
    </w:p>
    <w:p>
      <w:r>
        <w:rPr>
          <w:b/>
        </w:rPr>
        <w:t xml:space="preserve">Quelle: </w:t>
      </w:r>
      <w:r>
        <w:t>https://mcp.opencaselaw.ch/entscheid/ch_vb_2007-0249_2421_</w:t>
      </w:r>
    </w:p>
    <w:p>
      <w:r>
        <w:t>FR: CH_VB 2007-0249 2421 du 13 avril 2005</w:t>
      </w:r>
    </w:p>
    <w:p>
      <w:r>
        <w:t>IT: CH_VB 2007-0249 2421 del 13 aprile 2005</w:t>
      </w:r>
    </w:p>
    <w:p>
      <w:pPr>
        <w:pStyle w:val="Heading2"/>
      </w:pPr>
      <w:r>
        <w:t>Volltext</w:t>
      </w:r>
    </w:p>
    <w:p>
      <w:r>
        <w:t>2007-0249 2421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de l’Hermitage Lausanne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Saint-Louis Art Museum, One Fine Arts Drive, Forest Park, St. Louis, Missouri 63110-1380, USA; B. Description du bien culturel: cf. annexe1; C. Indication la plus précise possible de la provenance du bien culturel: cf. annexe1; D. Date prévue de l’importation temporaire du bien culturel en Suisse: 21 mai 2007; E. Date prévue de l’exportation du bien culturel hors de Suisse: 23 novembre 2007; F. Durée de l’exposition: du 29 juin jusqu’au 28 octobre 2007; G. Durée demandée pour la garantie de restitution: du 21 mai jusqu’au 23 novembre 2007.</w:t>
      </w:r>
    </w:p>
    <w:p>
      <w:r>
        <w:t>Service spécialisé transfert des biens culturels, Office fédéral de la culture, Hallwyl- strasse 15, 3003 Berne. Les oppositions contre la délivrance d’une garantie de restitution doivent être dépo- sées dans un délai de 30 jours auprès du service spécialisé. 10 avril 2007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15 Cahier Numero Geschäftsnummer --- Numéro d'affaire Numero dell'oggetto Datum 10.04.2007 Date Data Seite 2421-2421 Page Pagina Ref. No 10 140 514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