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2006-3249 9235 vom 18. Mai 2005</w:t>
      </w:r>
    </w:p>
    <w:p>
      <w:r>
        <w:t>Bundesverwaltung, 2005-05-18, DE</w:t>
      </w:r>
    </w:p>
    <w:p>
      <w:r>
        <w:rPr>
          <w:b/>
        </w:rPr>
        <w:t xml:space="preserve">Quelle: </w:t>
      </w:r>
      <w:r>
        <w:t>https://mcp.opencaselaw.ch/entscheid/ch_vb_2006-3249_9235_</w:t>
      </w:r>
    </w:p>
    <w:p>
      <w:r>
        <w:t>FR: CH_VB 2006-3249 9235 du 18 mai 2005</w:t>
      </w:r>
    </w:p>
    <w:p>
      <w:r>
        <w:t>IT: CH_VB 2006-3249 9235 del 18 maggio 2005</w:t>
      </w:r>
    </w:p>
    <w:p>
      <w:pPr>
        <w:pStyle w:val="Heading2"/>
      </w:pPr>
      <w:r>
        <w:t>Erwägungen</w:t>
      </w:r>
    </w:p>
    <w:p>
      <w:r>
        <w:rPr>
          <w:b/>
        </w:rPr>
        <w:t>E. 1</w:t>
      </w:r>
    </w:p>
    <w:p>
      <w:r>
        <w:t>Caractéristiques du produit (pour tous les produits mentionnés) Substance(s) active(s): Pyridate 45.0 % Formulation: WP</w:t>
      </w:r>
    </w:p>
    <w:p>
      <w:r>
        <w:rPr>
          <w:b/>
        </w:rPr>
        <w:t>E. 2</w:t>
      </w:r>
    </w:p>
    <w:p>
      <w:r>
        <w:t>Produits commerciaux Lentagran WP Numéro d’homologation suisse: D-3818 pays d’origine: Allemagne numéro d’homologation étranger: 3231-00 distributeur: Syngenta Agro GmbH, am Technologiepark 1–5, 63477 Maintal Parys Numéro d’homologation suisse: F-3885 pays d’origine: France numéro d’homologation étranger: 2010005 distributeur: Phytheron 2000, 14, rue Durfort de Duras, BP 38, 41600 La Motte Beuvron Sagagran Numéro d’homologation suisse: F-3886 pays d’origine: France numéro d’homologation étranger: 2010374 distributeur: S.A.G.A. SA, Zone Industrielle de Rouvroy, 2100 Saint Quentin</w:t>
      </w:r>
    </w:p>
    <w:p>
      <w:r>
        <w:t>1 RS 916.161</w:t>
      </w:r>
    </w:p>
    <w:p>
      <w:r>
        <w:t>9236 Applications autorisées: Domaine d’application Organisme nuisible / effets Application (*) Culture maraîchère</w:t>
      </w:r>
    </w:p>
    <w:p>
      <w:r>
        <w:t>choux-raves, choux pommés (choux blancs, choux rouges, choux frisés), poireaux, échalotes, oignons dicotylédones (mauvaises herbes) dosage: 2 kg/ha délai d’attente: 4 semaines</w:t>
      </w:r>
    </w:p>
    <w:p>
      <w:r>
        <w:t>Grandes cultures</w:t>
      </w:r>
    </w:p>
    <w:p>
      <w:r>
        <w:t>mélange de légumineuses et de graminées dicotylédones (mauvaises herbes; à feuilles larges) dosage: 1 à 2kg/ha application: automne, après la levée, jusqu’à mi-octobre 1 maïs dicotylédones (mauvaises herbes; y compris celles résistant à la triazine) dosage: 1.5 à 2kg/ha application: stade 2 feuilles</w:t>
      </w:r>
    </w:p>
    <w:p>
      <w:r>
        <w:t>maïs dicotylédones (mauvaises herbes; y compris celles résistant à la triazine) dosage: 1.5 à 2 kg/ha 2, 3, 4,</w:t>
      </w:r>
    </w:p>
    <w:p>
      <w:r>
        <w:rPr>
          <w:b/>
        </w:rPr>
        <w:t>E. 5</w:t>
      </w:r>
    </w:p>
    <w:p>
      <w:r>
        <w:t>colza dicotylédones (mauvaises herbes; à feuilles larges) dosage: 2 kg/ha application: printemps</w:t>
      </w:r>
    </w:p>
    <w:p>
      <w:r>
        <w:rPr>
          <w:b/>
        </w:rPr>
        <w:t>E. 6</w:t>
      </w:r>
    </w:p>
    <w:p>
      <w:r>
        <w:t>= ne pas mélanger avec du Pradone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9237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50 Cahier Numero Geschäftsnummer --- Numéro d'affaire Numero dell'oggetto Datum 19.12.2006 Date Data Seite 9235-9237 Page Pagina Ref. No</w:t>
      </w:r>
    </w:p>
    <w:p>
      <w:r>
        <w:rPr>
          <w:b/>
        </w:rPr>
        <w:t>E. 10</w:t>
      </w:r>
    </w:p>
    <w:p>
      <w:r>
        <w:t>140 187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