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2006-3054 141 vom 19. Dezember 2007</w:t>
      </w:r>
    </w:p>
    <w:p>
      <w:r>
        <w:t>Bundesverwaltung, 2007-12-19, DE</w:t>
      </w:r>
    </w:p>
    <w:p>
      <w:r>
        <w:rPr>
          <w:b/>
        </w:rPr>
        <w:t xml:space="preserve">Quelle: </w:t>
      </w:r>
      <w:r>
        <w:t>https://mcp.opencaselaw.ch/entscheid/ch_vb_2006-3054_141_</w:t>
      </w:r>
    </w:p>
    <w:p>
      <w:r>
        <w:t>FR: CH_VB 2006-3054 141 du 19 décembre 2007</w:t>
      </w:r>
    </w:p>
    <w:p>
      <w:r>
        <w:t>IT: CH_VB 2006-3054 141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141-142 Page Pagina Ref. No 10 141 292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en faveur des mesures de sécurité dans le trafic aérien. AF 142</w:t>
      </w:r>
    </w:p>
    <w:p>
      <w:r>
        <w:t>Schweizerisches Bundesarchiv, Digitale Amtsdruckschriften Archives fédérales suisses, Publications officielles numérisées Archivio federale svizzero, Pubblicazioni ufficiali digitali Arrêté fédéral &lt;bd&gt; concernant l'engagement de l'armée en faveur des mesures de sécurité dans le trafic aérien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